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45D" w:rsidRPr="001A15FF" w:rsidRDefault="0095645D" w:rsidP="00654375">
      <w:pPr>
        <w:tabs>
          <w:tab w:val="left" w:pos="1025"/>
        </w:tabs>
        <w:spacing w:before="120" w:after="480"/>
        <w:ind w:left="1" w:hanging="3"/>
        <w:jc w:val="center"/>
        <w:rPr>
          <w:rFonts w:ascii="Times New Roman" w:eastAsiaTheme="minorEastAsia" w:hAnsi="Times New Roman" w:cs="Times New Roman"/>
          <w:b/>
          <w:bCs/>
          <w:sz w:val="28"/>
          <w:szCs w:val="28"/>
          <w:lang w:val="id-ID"/>
        </w:rPr>
      </w:pPr>
      <w:r w:rsidRPr="001A15FF">
        <w:rPr>
          <w:rFonts w:ascii="Times New Roman" w:eastAsiaTheme="minorEastAsia" w:hAnsi="Times New Roman" w:cs="Times New Roman"/>
          <w:b/>
          <w:bCs/>
          <w:sz w:val="28"/>
          <w:szCs w:val="28"/>
          <w:lang w:val="id-ID"/>
        </w:rPr>
        <w:t>Tinjauan Yuridis Pelaksanaan Perkawinan Campuran di Indonesia Menurut Undang-Undang Nomor 1 Tahun 1974 Tentang Perkawinan</w:t>
      </w:r>
    </w:p>
    <w:p w:rsidR="0095645D" w:rsidRPr="001A15FF" w:rsidRDefault="0095645D" w:rsidP="00654375">
      <w:pPr>
        <w:spacing w:after="120"/>
        <w:ind w:hanging="2"/>
        <w:jc w:val="center"/>
        <w:rPr>
          <w:rFonts w:ascii="Times New Roman" w:eastAsiaTheme="minorEastAsia" w:hAnsi="Times New Roman" w:cs="Times New Roman"/>
          <w:sz w:val="22"/>
          <w:szCs w:val="22"/>
          <w:lang w:val="id-ID"/>
        </w:rPr>
      </w:pPr>
      <w:r w:rsidRPr="001A15FF">
        <w:rPr>
          <w:rFonts w:ascii="Times New Roman" w:eastAsiaTheme="minorEastAsia" w:hAnsi="Times New Roman" w:cs="Times New Roman"/>
          <w:sz w:val="22"/>
          <w:szCs w:val="22"/>
          <w:lang w:val="id-ID"/>
        </w:rPr>
        <w:t>Nostalgia Semuel Bako</w:t>
      </w:r>
      <w:bookmarkStart w:id="0" w:name="_GoBack"/>
      <w:bookmarkEnd w:id="0"/>
      <w:r w:rsidRPr="001A15FF">
        <w:rPr>
          <w:rFonts w:ascii="Times New Roman" w:eastAsiaTheme="minorEastAsia" w:hAnsi="Times New Roman" w:cs="Times New Roman"/>
          <w:sz w:val="22"/>
          <w:szCs w:val="22"/>
          <w:vertAlign w:val="superscript"/>
          <w:lang w:val="id-ID"/>
        </w:rPr>
        <w:t>1</w:t>
      </w:r>
      <w:r w:rsidRPr="001A15FF">
        <w:rPr>
          <w:rFonts w:ascii="Times New Roman" w:eastAsiaTheme="minorEastAsia" w:hAnsi="Times New Roman" w:cs="Times New Roman"/>
          <w:sz w:val="22"/>
          <w:szCs w:val="22"/>
          <w:lang w:val="id-ID"/>
        </w:rPr>
        <w:t xml:space="preserve">, </w:t>
      </w:r>
      <w:r w:rsidRPr="0095645D">
        <w:rPr>
          <w:rStyle w:val="Strong"/>
          <w:rFonts w:ascii="Times New Roman" w:eastAsiaTheme="minorEastAsia" w:hAnsi="Times New Roman" w:cs="Times New Roman"/>
          <w:b w:val="0"/>
          <w:sz w:val="22"/>
          <w:szCs w:val="22"/>
          <w:shd w:val="clear" w:color="auto" w:fill="FFFFFF"/>
          <w:lang w:val="id-ID"/>
        </w:rPr>
        <w:t>Orpa J. Nubantonis</w:t>
      </w:r>
      <w:r w:rsidRPr="0095645D">
        <w:rPr>
          <w:rFonts w:ascii="Times New Roman" w:eastAsiaTheme="minorEastAsia" w:hAnsi="Times New Roman" w:cs="Times New Roman"/>
          <w:sz w:val="22"/>
          <w:szCs w:val="22"/>
          <w:vertAlign w:val="superscript"/>
          <w:lang w:val="id-ID"/>
        </w:rPr>
        <w:t>2</w:t>
      </w:r>
      <w:r w:rsidRPr="0095645D">
        <w:rPr>
          <w:rFonts w:ascii="Times New Roman" w:eastAsiaTheme="minorEastAsia" w:hAnsi="Times New Roman" w:cs="Times New Roman"/>
          <w:sz w:val="22"/>
          <w:szCs w:val="22"/>
          <w:lang w:val="id-ID"/>
        </w:rPr>
        <w:t>,</w:t>
      </w:r>
      <w:r w:rsidRPr="0095645D">
        <w:rPr>
          <w:rFonts w:ascii="Times New Roman" w:eastAsiaTheme="minorEastAsia" w:hAnsi="Times New Roman" w:cs="Times New Roman"/>
          <w:sz w:val="22"/>
          <w:szCs w:val="22"/>
          <w:shd w:val="clear" w:color="auto" w:fill="FFFFFF"/>
          <w:lang w:val="id-ID"/>
        </w:rPr>
        <w:t xml:space="preserve"> </w:t>
      </w:r>
      <w:r w:rsidRPr="001A15FF">
        <w:rPr>
          <w:rFonts w:ascii="Times New Roman" w:eastAsiaTheme="minorEastAsia" w:hAnsi="Times New Roman" w:cs="Times New Roman"/>
          <w:sz w:val="22"/>
          <w:szCs w:val="22"/>
          <w:shd w:val="clear" w:color="auto" w:fill="FFFFFF"/>
          <w:lang w:val="id-ID"/>
        </w:rPr>
        <w:t>Rini Marselin Kaesmeta</w:t>
      </w:r>
      <w:r w:rsidRPr="001A15FF">
        <w:rPr>
          <w:rFonts w:ascii="Times New Roman" w:eastAsiaTheme="minorEastAsia" w:hAnsi="Times New Roman" w:cs="Times New Roman"/>
          <w:sz w:val="22"/>
          <w:szCs w:val="22"/>
          <w:shd w:val="clear" w:color="auto" w:fill="FFFFFF"/>
          <w:vertAlign w:val="superscript"/>
          <w:lang w:val="id-ID"/>
        </w:rPr>
        <w:t>3</w:t>
      </w:r>
    </w:p>
    <w:p w:rsidR="0095645D" w:rsidRPr="001A15FF" w:rsidRDefault="0095645D" w:rsidP="00654375">
      <w:pPr>
        <w:shd w:val="clear" w:color="auto" w:fill="FFFFFF"/>
        <w:ind w:left="-1"/>
        <w:jc w:val="center"/>
        <w:rPr>
          <w:rFonts w:ascii="Times New Roman" w:eastAsiaTheme="minorEastAsia" w:hAnsi="Times New Roman" w:cs="Times New Roman"/>
          <w:sz w:val="18"/>
          <w:szCs w:val="18"/>
          <w:lang w:val="id-ID" w:eastAsia="id-ID"/>
        </w:rPr>
      </w:pPr>
      <w:r w:rsidRPr="001A15FF">
        <w:rPr>
          <w:rFonts w:ascii="Times New Roman" w:eastAsiaTheme="minorEastAsia" w:hAnsi="Times New Roman" w:cs="Times New Roman"/>
          <w:sz w:val="18"/>
          <w:szCs w:val="18"/>
          <w:vertAlign w:val="superscript"/>
          <w:lang w:val="id-ID"/>
        </w:rPr>
        <w:t>1, 2,3</w:t>
      </w:r>
      <w:r w:rsidRPr="001A15FF">
        <w:rPr>
          <w:rFonts w:ascii="Times New Roman" w:eastAsiaTheme="minorEastAsia" w:hAnsi="Times New Roman" w:cs="Times New Roman"/>
          <w:sz w:val="18"/>
          <w:szCs w:val="18"/>
          <w:lang w:val="id-ID" w:eastAsia="id-ID"/>
        </w:rPr>
        <w:t>Program Studi Ilmu Hukum, FH, Universitas Nusa Cendana Kupang</w:t>
      </w:r>
    </w:p>
    <w:p w:rsidR="0095645D" w:rsidRDefault="0095645D" w:rsidP="00654375">
      <w:pPr>
        <w:shd w:val="clear" w:color="auto" w:fill="FFFFFF"/>
        <w:ind w:left="-1"/>
        <w:jc w:val="center"/>
        <w:rPr>
          <w:rFonts w:ascii="Times New Roman" w:eastAsiaTheme="minorEastAsia" w:hAnsi="Times New Roman" w:cs="Times New Roman"/>
          <w:sz w:val="18"/>
          <w:szCs w:val="18"/>
          <w:lang w:val="id-ID" w:eastAsia="id-ID"/>
        </w:rPr>
      </w:pPr>
      <w:r w:rsidRPr="001A15FF">
        <w:rPr>
          <w:rFonts w:ascii="Times New Roman" w:eastAsiaTheme="minorEastAsia" w:hAnsi="Times New Roman" w:cs="Times New Roman"/>
          <w:sz w:val="18"/>
          <w:szCs w:val="18"/>
          <w:lang w:val="id-ID" w:eastAsia="id-ID"/>
        </w:rPr>
        <w:t>nostalgiasamuelbako@gmail.com, Indonesia</w:t>
      </w:r>
    </w:p>
    <w:p w:rsidR="0095645D" w:rsidRPr="001A15FF" w:rsidRDefault="0095645D" w:rsidP="00654375">
      <w:pPr>
        <w:shd w:val="clear" w:color="auto" w:fill="FFFFFF"/>
        <w:ind w:left="-1"/>
        <w:jc w:val="center"/>
        <w:rPr>
          <w:rFonts w:ascii="Times New Roman" w:eastAsiaTheme="minorEastAsia" w:hAnsi="Times New Roman" w:cs="Times New Roman"/>
          <w:sz w:val="18"/>
          <w:szCs w:val="18"/>
          <w:lang w:val="id-ID" w:eastAsia="id-ID"/>
        </w:rPr>
      </w:pPr>
    </w:p>
    <w:p w:rsidR="0060036A" w:rsidRDefault="0060036A" w:rsidP="00654375">
      <w:pPr>
        <w:pStyle w:val="Heading1"/>
        <w:spacing w:before="0"/>
        <w:jc w:val="center"/>
        <w:rPr>
          <w:rFonts w:ascii="Times New Roman" w:hAnsi="Times New Roman" w:cs="Times New Roman"/>
          <w:b/>
          <w:bCs/>
          <w:i/>
          <w:color w:val="auto"/>
          <w:sz w:val="20"/>
          <w:szCs w:val="22"/>
        </w:rPr>
      </w:pPr>
      <w:r w:rsidRPr="0060036A">
        <w:rPr>
          <w:rFonts w:ascii="Times New Roman" w:hAnsi="Times New Roman" w:cs="Times New Roman"/>
          <w:b/>
          <w:bCs/>
          <w:i/>
          <w:color w:val="auto"/>
          <w:sz w:val="20"/>
          <w:szCs w:val="22"/>
        </w:rPr>
        <w:t>Abstract</w:t>
      </w:r>
    </w:p>
    <w:p w:rsidR="0095645D" w:rsidRPr="001A15FF" w:rsidRDefault="0095645D" w:rsidP="00654375">
      <w:pPr>
        <w:ind w:hanging="2"/>
        <w:jc w:val="both"/>
        <w:rPr>
          <w:rFonts w:ascii="Times New Roman" w:eastAsiaTheme="minorEastAsia" w:hAnsi="Times New Roman" w:cs="Times New Roman"/>
          <w:iCs/>
          <w:sz w:val="20"/>
          <w:szCs w:val="20"/>
          <w:lang w:eastAsia="id-ID"/>
        </w:rPr>
      </w:pPr>
      <w:r w:rsidRPr="001A15FF">
        <w:rPr>
          <w:rFonts w:ascii="Times New Roman" w:eastAsiaTheme="minorEastAsia" w:hAnsi="Times New Roman" w:cs="Times New Roman"/>
          <w:iCs/>
          <w:sz w:val="20"/>
          <w:szCs w:val="20"/>
          <w:lang w:val="en" w:eastAsia="id-ID"/>
        </w:rPr>
        <w:t>Mixed marriages (between Indonesian and foreign nationals) are increasingly common along with globalization, but they bring with them high legal complexity because they bring together two different national legal systems. This study aims to examine the validity of the implementation of procedures and analyze the legal consequences they have on the civil status of the parties. Normative (doctrinal) legal research with a statute approach and a conceptual approach. The data used are secondary data (primary, secondary, and tertiary legal materials) analyzed qualitatively and descriptively. The implementation of mixed marriages in Indonesia absolutely must meet the material requirements of national law for Indonesian citizens (minimum age 19 years, free consent, absence of obstacles/impediments) and the principle of Lex Patriae for foreign nationals as evidenced by a Certificate of No Impediment (CNI) document from the country of origin. Administratively, marriages must be registered at the Office of Religious Affairs (KUA) (Muslim) or the Civil Registration Office (Dispendukcapil) (Non-Muslim). Marriages conducted abroad must be reported no later than 30 days after returning to Indonesia for legal certainty.</w:t>
      </w:r>
      <w:r w:rsidRPr="001A15FF">
        <w:rPr>
          <w:rFonts w:ascii="Times New Roman" w:eastAsia="Times New Roman" w:hAnsi="Times New Roman" w:cs="Times New Roman"/>
          <w:iCs/>
          <w:color w:val="1F1F1F"/>
          <w:sz w:val="20"/>
          <w:szCs w:val="20"/>
          <w:lang w:val="en"/>
        </w:rPr>
        <w:t xml:space="preserve"> </w:t>
      </w:r>
      <w:r w:rsidRPr="001A15FF">
        <w:rPr>
          <w:rFonts w:ascii="Times New Roman" w:eastAsiaTheme="minorEastAsia" w:hAnsi="Times New Roman" w:cs="Times New Roman"/>
          <w:iCs/>
          <w:sz w:val="20"/>
          <w:szCs w:val="20"/>
          <w:lang w:val="en" w:eastAsia="id-ID"/>
        </w:rPr>
        <w:t>Based on Law No. 12 of 2006, children from mixed marriages receive progressive protection in the form of Limited Dual Citizenship status until the age of 18 or before marriage. There is a clash of norms between family law (joint property) and the Nationality Principle in the UUPA which prohibits foreign nationals from having Ownership Rights to land. Without an agreement on the separation of property, there is a "status contamination" which causes Indonesian citizens to lose their rights to land with Ownership Rights in Indonesia. Based on Constitutional Court Decision No. 69/PUU-XII/2015, couples can make a Marriage Agreement (separation of property) both before (prenuptial) and during the marriage (postnuptial) through a notarial deed to protect the ownership rights of Indonesian citizens' assets/property.</w:t>
      </w:r>
    </w:p>
    <w:p w:rsidR="0095645D" w:rsidRPr="001A15FF" w:rsidRDefault="0095645D" w:rsidP="00654375">
      <w:pPr>
        <w:ind w:hanging="2"/>
        <w:jc w:val="both"/>
        <w:rPr>
          <w:rFonts w:ascii="Times New Roman" w:eastAsiaTheme="minorEastAsia" w:hAnsi="Times New Roman" w:cs="Times New Roman"/>
          <w:bCs/>
          <w:sz w:val="20"/>
          <w:szCs w:val="20"/>
          <w:lang w:val="id-ID" w:eastAsia="id-ID"/>
        </w:rPr>
      </w:pPr>
      <w:r w:rsidRPr="001A15FF">
        <w:rPr>
          <w:rFonts w:ascii="Times New Roman" w:eastAsiaTheme="minorEastAsia" w:hAnsi="Times New Roman" w:cs="Times New Roman"/>
          <w:bCs/>
          <w:sz w:val="20"/>
          <w:szCs w:val="20"/>
          <w:lang w:val="id-ID" w:eastAsia="id-ID"/>
        </w:rPr>
        <w:t>Keywords: Learning Media, Intrinsic Elements, Poetry</w:t>
      </w:r>
    </w:p>
    <w:p w:rsidR="00E2101A" w:rsidRPr="00E2101A" w:rsidRDefault="00E2101A" w:rsidP="00654375">
      <w:pPr>
        <w:pStyle w:val="BodyText"/>
        <w:spacing w:before="5"/>
        <w:ind w:left="0"/>
        <w:jc w:val="left"/>
        <w:rPr>
          <w:sz w:val="20"/>
        </w:rPr>
      </w:pPr>
    </w:p>
    <w:p w:rsidR="00E2101A" w:rsidRPr="00E2101A" w:rsidRDefault="00E2101A" w:rsidP="00654375">
      <w:pPr>
        <w:spacing w:before="1" w:line="228" w:lineRule="exact"/>
        <w:jc w:val="center"/>
        <w:rPr>
          <w:rFonts w:ascii="Times New Roman" w:hAnsi="Times New Roman" w:cs="Times New Roman"/>
          <w:b/>
          <w:sz w:val="20"/>
        </w:rPr>
      </w:pPr>
      <w:r w:rsidRPr="00E2101A">
        <w:rPr>
          <w:rFonts w:ascii="Times New Roman" w:hAnsi="Times New Roman" w:cs="Times New Roman"/>
          <w:b/>
          <w:spacing w:val="-2"/>
          <w:sz w:val="20"/>
        </w:rPr>
        <w:t>Abstrak</w:t>
      </w:r>
    </w:p>
    <w:p w:rsidR="0095645D" w:rsidRPr="001A15FF" w:rsidRDefault="0095645D" w:rsidP="00654375">
      <w:pPr>
        <w:ind w:hanging="2"/>
        <w:jc w:val="both"/>
        <w:rPr>
          <w:rFonts w:ascii="Times New Roman" w:hAnsi="Times New Roman" w:cs="Times New Roman"/>
          <w:sz w:val="20"/>
          <w:szCs w:val="20"/>
        </w:rPr>
      </w:pPr>
      <w:r w:rsidRPr="001A15FF">
        <w:rPr>
          <w:rFonts w:ascii="Times New Roman" w:hAnsi="Times New Roman" w:cs="Times New Roman"/>
          <w:sz w:val="20"/>
          <w:szCs w:val="20"/>
        </w:rPr>
        <w:t>Perkawinan campuran (antara WNI dan WNA) kian marak terjadi seiring globalisasi, namun membawa kompleksitas yuridis yang tinggi karena mempertemukan dua sistem hukum nasional yang berbeda. Penelitian ini bertujuan untuk mengkaji keabsahan pelaksanaan prosedur serta menganalisis akibat hukum yang ditimbulkannya terhadap status keperdataan para pihak. Penelitian hukum normatif (doktrinal) dengan pendekatan perundang-undangan (</w:t>
      </w:r>
      <w:r w:rsidRPr="001A15FF">
        <w:rPr>
          <w:rFonts w:ascii="Times New Roman" w:hAnsi="Times New Roman" w:cs="Times New Roman"/>
          <w:iCs/>
          <w:sz w:val="20"/>
          <w:szCs w:val="20"/>
        </w:rPr>
        <w:t>statute approach</w:t>
      </w:r>
      <w:r w:rsidRPr="001A15FF">
        <w:rPr>
          <w:rFonts w:ascii="Times New Roman" w:hAnsi="Times New Roman" w:cs="Times New Roman"/>
          <w:sz w:val="20"/>
          <w:szCs w:val="20"/>
        </w:rPr>
        <w:t>) dan pendekatan konseptual (</w:t>
      </w:r>
      <w:r w:rsidRPr="001A15FF">
        <w:rPr>
          <w:rFonts w:ascii="Times New Roman" w:hAnsi="Times New Roman" w:cs="Times New Roman"/>
          <w:iCs/>
          <w:sz w:val="20"/>
          <w:szCs w:val="20"/>
        </w:rPr>
        <w:t>conceptual approach</w:t>
      </w:r>
      <w:r w:rsidRPr="001A15FF">
        <w:rPr>
          <w:rFonts w:ascii="Times New Roman" w:hAnsi="Times New Roman" w:cs="Times New Roman"/>
          <w:sz w:val="20"/>
          <w:szCs w:val="20"/>
        </w:rPr>
        <w:t xml:space="preserve">). Data yang digunakan adalah data sekunder (bahan hukum primer, sekunder, dan tersier) yang dianalisis secara kualitatif-deskriptif. Pelaksanaan perkawinan campuran di Indonesia secara absolut wajib memenuhi syarat materiil hukum nasional bagi WNI (usia minimal 19 tahun, persetujuan bebas, ketiadaan rintangan/halangan) dan asas </w:t>
      </w:r>
      <w:r w:rsidRPr="001A15FF">
        <w:rPr>
          <w:rFonts w:ascii="Times New Roman" w:hAnsi="Times New Roman" w:cs="Times New Roman"/>
          <w:iCs/>
          <w:sz w:val="20"/>
          <w:szCs w:val="20"/>
        </w:rPr>
        <w:t>Lex Patriae</w:t>
      </w:r>
      <w:r w:rsidRPr="001A15FF">
        <w:rPr>
          <w:rFonts w:ascii="Times New Roman" w:hAnsi="Times New Roman" w:cs="Times New Roman"/>
          <w:sz w:val="20"/>
          <w:szCs w:val="20"/>
        </w:rPr>
        <w:t xml:space="preserve"> bagi WNA yang dibuktikan melalui dokumen </w:t>
      </w:r>
      <w:r w:rsidRPr="001A15FF">
        <w:rPr>
          <w:rFonts w:ascii="Times New Roman" w:hAnsi="Times New Roman" w:cs="Times New Roman"/>
          <w:iCs/>
          <w:sz w:val="20"/>
          <w:szCs w:val="20"/>
        </w:rPr>
        <w:t>Certificate of No Impediment</w:t>
      </w:r>
      <w:r w:rsidRPr="001A15FF">
        <w:rPr>
          <w:rFonts w:ascii="Times New Roman" w:hAnsi="Times New Roman" w:cs="Times New Roman"/>
          <w:sz w:val="20"/>
          <w:szCs w:val="20"/>
        </w:rPr>
        <w:t xml:space="preserve"> (CNI) dari negara asal. Secara administratif, perkawinan wajib dicatatkan di KUA (Muslim) atau Dispendukcapil (Non-Muslim). Perkawinan yang dilakukan di luar negeri wajib dilaporkan paling lambat 30 hari setelah kembali ke Indonesia demi kepastian hukum. Berdasarkan UU No. 12 Tahun 2006, anak dari perkawinan campuran mendapatkan pelindungan progresif berupa status Kewarganegaraan Ganda Terbatas hingga usia 18 tahun atau sebelum menikah. Terjadi benturan norma antara hukum kekeluargaan (harta bersama) dan Asas Nasionalitas dalam UUPA yang melarang total WNA memiliki Hak Milik atas tanah. Tanpa adanya perjanjian pemisahan harta, terjadi "kontaminasi status" yang menyebabkan pihak WNI kehilangan hak atas tanah Hak Milik di Indonesia. Berdasarkan Putusan Mahkamah Konstitusi No. 69/PUU-XII/2015, pasangan dapat membuat Perjanjian Perkawinan (pisah harta) baik sebelum (</w:t>
      </w:r>
      <w:r w:rsidRPr="001A15FF">
        <w:rPr>
          <w:rFonts w:ascii="Times New Roman" w:hAnsi="Times New Roman" w:cs="Times New Roman"/>
          <w:iCs/>
          <w:sz w:val="20"/>
          <w:szCs w:val="20"/>
        </w:rPr>
        <w:t>prenuptial</w:t>
      </w:r>
      <w:r w:rsidRPr="001A15FF">
        <w:rPr>
          <w:rFonts w:ascii="Times New Roman" w:hAnsi="Times New Roman" w:cs="Times New Roman"/>
          <w:sz w:val="20"/>
          <w:szCs w:val="20"/>
        </w:rPr>
        <w:t>) maupun selama perkawinan berlangsung (</w:t>
      </w:r>
      <w:r w:rsidRPr="001A15FF">
        <w:rPr>
          <w:rFonts w:ascii="Times New Roman" w:hAnsi="Times New Roman" w:cs="Times New Roman"/>
          <w:iCs/>
          <w:sz w:val="20"/>
          <w:szCs w:val="20"/>
        </w:rPr>
        <w:t>postnuptial</w:t>
      </w:r>
      <w:r w:rsidRPr="001A15FF">
        <w:rPr>
          <w:rFonts w:ascii="Times New Roman" w:hAnsi="Times New Roman" w:cs="Times New Roman"/>
          <w:sz w:val="20"/>
          <w:szCs w:val="20"/>
        </w:rPr>
        <w:t>) melalui akta notaris untuk melindungi hak kepemilikan aset/properti WNI</w:t>
      </w:r>
    </w:p>
    <w:p w:rsidR="0095645D" w:rsidRPr="001A15FF" w:rsidRDefault="0095645D" w:rsidP="00654375">
      <w:pPr>
        <w:jc w:val="both"/>
        <w:rPr>
          <w:rFonts w:ascii="Times New Roman" w:hAnsi="Times New Roman" w:cs="Times New Roman"/>
          <w:bCs/>
          <w:iCs/>
          <w:sz w:val="20"/>
          <w:szCs w:val="20"/>
        </w:rPr>
      </w:pPr>
      <w:r w:rsidRPr="001A15FF">
        <w:rPr>
          <w:rFonts w:ascii="Times New Roman" w:eastAsiaTheme="minorEastAsia" w:hAnsi="Times New Roman" w:cs="Times New Roman"/>
          <w:bCs/>
          <w:iCs/>
          <w:sz w:val="20"/>
          <w:szCs w:val="20"/>
          <w:lang w:val="id-ID"/>
        </w:rPr>
        <w:t xml:space="preserve">Kata kunci: </w:t>
      </w:r>
      <w:r w:rsidRPr="001A15FF">
        <w:rPr>
          <w:rFonts w:ascii="Times New Roman" w:hAnsi="Times New Roman" w:cs="Times New Roman"/>
          <w:bCs/>
          <w:iCs/>
          <w:sz w:val="20"/>
          <w:szCs w:val="20"/>
          <w:lang w:val="en"/>
        </w:rPr>
        <w:t>Mixed Marriage, Certificate of No Obstacle, Limited Dual Citizenship, Marriage Agreement, Constitutional Court Decision No. 69/PUU-XII/2015</w:t>
      </w:r>
    </w:p>
    <w:p w:rsidR="0087344F" w:rsidRPr="00B561DB" w:rsidRDefault="0087344F" w:rsidP="00654375">
      <w:pPr>
        <w:pBdr>
          <w:bottom w:val="single" w:sz="6" w:space="1" w:color="000000"/>
        </w:pBdr>
        <w:ind w:hanging="2"/>
        <w:jc w:val="both"/>
        <w:rPr>
          <w:rFonts w:ascii="Times New Roman" w:eastAsia="Times New Roman" w:hAnsi="Times New Roman" w:cs="Times New Roman"/>
          <w:color w:val="1F1F1F"/>
          <w:kern w:val="0"/>
          <w:sz w:val="20"/>
          <w:szCs w:val="20"/>
          <w14:ligatures w14:val="none"/>
        </w:rPr>
      </w:pPr>
    </w:p>
    <w:p w:rsidR="002C3BF9" w:rsidRPr="00E2101A" w:rsidRDefault="00FA58B1" w:rsidP="00654375">
      <w:pPr>
        <w:pBdr>
          <w:bottom w:val="single" w:sz="6" w:space="1" w:color="000000"/>
        </w:pBdr>
        <w:ind w:hanging="2"/>
        <w:jc w:val="right"/>
        <w:rPr>
          <w:rFonts w:ascii="Times New Roman" w:hAnsi="Times New Roman" w:cs="Times New Roman"/>
          <w:b/>
          <w:color w:val="000000" w:themeColor="text1"/>
          <w:sz w:val="20"/>
          <w:szCs w:val="20"/>
        </w:rPr>
      </w:pPr>
      <w:r w:rsidRPr="00E2101A">
        <w:rPr>
          <w:rFonts w:ascii="Times New Roman" w:hAnsi="Times New Roman" w:cs="Times New Roman"/>
          <w:color w:val="000000" w:themeColor="text1"/>
          <w:sz w:val="20"/>
          <w:szCs w:val="20"/>
        </w:rPr>
        <w:t>Copyright (c) 2026</w:t>
      </w:r>
      <w:r w:rsidR="002C3BF9" w:rsidRPr="00E2101A">
        <w:rPr>
          <w:rFonts w:ascii="Times New Roman" w:hAnsi="Times New Roman" w:cs="Times New Roman"/>
          <w:color w:val="000000" w:themeColor="text1"/>
          <w:sz w:val="20"/>
          <w:szCs w:val="20"/>
        </w:rPr>
        <w:t xml:space="preserve"> </w:t>
      </w:r>
      <w:r w:rsidR="0095645D" w:rsidRPr="0095645D">
        <w:rPr>
          <w:rFonts w:ascii="Times New Roman" w:hAnsi="Times New Roman" w:cs="Times New Roman"/>
          <w:sz w:val="20"/>
          <w:szCs w:val="20"/>
        </w:rPr>
        <w:t>Nostalgia Semuel Bako, Orpa J. Nubantonis, Rini Marselin Kaesmeta</w:t>
      </w:r>
    </w:p>
    <w:p w:rsidR="000141EF" w:rsidRPr="00E2101A" w:rsidRDefault="002C3BF9" w:rsidP="00654375">
      <w:pPr>
        <w:adjustRightInd w:val="0"/>
        <w:jc w:val="both"/>
        <w:rPr>
          <w:rFonts w:ascii="Times New Roman" w:eastAsia="Times New Roman" w:hAnsi="Times New Roman" w:cs="Times New Roman"/>
          <w:color w:val="000000" w:themeColor="text1"/>
          <w:kern w:val="0"/>
          <w:sz w:val="20"/>
          <w:szCs w:val="20"/>
          <w:lang w:val="en-ID"/>
          <w14:ligatures w14:val="none"/>
        </w:rPr>
      </w:pPr>
      <w:r w:rsidRPr="00E2101A">
        <w:rPr>
          <w:rFonts w:ascii="Segoe UI Symbol" w:hAnsi="Segoe UI Symbol" w:cs="Segoe UI Symbol"/>
          <w:color w:val="000000" w:themeColor="text1"/>
          <w:sz w:val="20"/>
          <w:szCs w:val="20"/>
        </w:rPr>
        <w:t>🖂</w:t>
      </w:r>
      <w:r w:rsidR="009A6A87" w:rsidRPr="00E2101A">
        <w:rPr>
          <w:rFonts w:ascii="Times New Roman" w:hAnsi="Times New Roman" w:cs="Times New Roman"/>
          <w:color w:val="000000" w:themeColor="text1"/>
          <w:sz w:val="20"/>
          <w:szCs w:val="20"/>
        </w:rPr>
        <w:t xml:space="preserve"> Corresponding author: </w:t>
      </w:r>
      <w:r w:rsidR="0095645D" w:rsidRPr="0095645D">
        <w:rPr>
          <w:rFonts w:ascii="Times New Roman" w:hAnsi="Times New Roman" w:cs="Times New Roman"/>
          <w:sz w:val="20"/>
          <w:szCs w:val="20"/>
        </w:rPr>
        <w:t>Nostalgia Semuel Bako</w:t>
      </w:r>
    </w:p>
    <w:p w:rsidR="002C3BF9" w:rsidRPr="00E2101A" w:rsidRDefault="002C3BF9" w:rsidP="00654375">
      <w:pPr>
        <w:shd w:val="clear" w:color="auto" w:fill="FFFFFF"/>
        <w:ind w:left="-1"/>
        <w:jc w:val="both"/>
        <w:rPr>
          <w:rFonts w:ascii="Times New Roman" w:hAnsi="Times New Roman" w:cs="Times New Roman"/>
          <w:b/>
          <w:color w:val="000000" w:themeColor="text1"/>
          <w:sz w:val="20"/>
          <w:szCs w:val="20"/>
        </w:rPr>
      </w:pPr>
      <w:r w:rsidRPr="00E2101A">
        <w:rPr>
          <w:rFonts w:ascii="Times New Roman" w:hAnsi="Times New Roman" w:cs="Times New Roman"/>
          <w:color w:val="000000" w:themeColor="text1"/>
          <w:sz w:val="20"/>
          <w:szCs w:val="20"/>
          <w:lang w:val="en-ID"/>
        </w:rPr>
        <w:t xml:space="preserve">Email Address: </w:t>
      </w:r>
      <w:r w:rsidR="0095645D" w:rsidRPr="001A15FF">
        <w:rPr>
          <w:rFonts w:ascii="Times New Roman" w:eastAsiaTheme="minorEastAsia" w:hAnsi="Times New Roman" w:cs="Times New Roman"/>
          <w:sz w:val="20"/>
          <w:szCs w:val="20"/>
          <w:lang w:val="id-ID" w:eastAsia="id-ID"/>
        </w:rPr>
        <w:t>nostalgiasamuelbako@gmail.com, Indonesia</w:t>
      </w:r>
      <w:r w:rsidR="0095645D" w:rsidRPr="00E2101A">
        <w:rPr>
          <w:rFonts w:ascii="Times New Roman" w:hAnsi="Times New Roman" w:cs="Times New Roman"/>
          <w:color w:val="000000" w:themeColor="text1"/>
          <w:sz w:val="20"/>
          <w:szCs w:val="20"/>
        </w:rPr>
        <w:t xml:space="preserve"> </w:t>
      </w:r>
      <w:r w:rsidR="00670B2B" w:rsidRPr="00E2101A">
        <w:rPr>
          <w:rFonts w:ascii="Times New Roman" w:hAnsi="Times New Roman" w:cs="Times New Roman"/>
          <w:color w:val="000000" w:themeColor="text1"/>
          <w:sz w:val="20"/>
          <w:szCs w:val="20"/>
        </w:rPr>
        <w:t>(</w:t>
      </w:r>
      <w:r w:rsidR="0095645D" w:rsidRPr="001A15FF">
        <w:rPr>
          <w:rFonts w:ascii="Times New Roman" w:eastAsiaTheme="minorEastAsia" w:hAnsi="Times New Roman" w:cs="Times New Roman"/>
          <w:sz w:val="20"/>
          <w:szCs w:val="20"/>
          <w:lang w:val="id-ID" w:eastAsia="id-ID"/>
        </w:rPr>
        <w:t>Program Studi Ilmu Hukum, FH, Universitas Nusa Cendana Kupang</w:t>
      </w:r>
      <w:r w:rsidR="002D2B13" w:rsidRPr="00E2101A">
        <w:rPr>
          <w:rFonts w:ascii="Times New Roman" w:hAnsi="Times New Roman" w:cs="Times New Roman"/>
          <w:color w:val="000000" w:themeColor="text1"/>
          <w:sz w:val="20"/>
          <w:szCs w:val="20"/>
        </w:rPr>
        <w:t>)</w:t>
      </w:r>
    </w:p>
    <w:p w:rsidR="002B488D" w:rsidRPr="00E2101A" w:rsidRDefault="00CC0207" w:rsidP="00654375">
      <w:pPr>
        <w:adjustRightInd w:val="0"/>
        <w:jc w:val="both"/>
        <w:rPr>
          <w:rFonts w:ascii="Times New Roman" w:hAnsi="Times New Roman" w:cs="Times New Roman"/>
          <w:sz w:val="20"/>
          <w:szCs w:val="20"/>
        </w:rPr>
      </w:pPr>
      <w:r w:rsidRPr="00E2101A">
        <w:rPr>
          <w:rFonts w:ascii="Times New Roman" w:hAnsi="Times New Roman" w:cs="Times New Roman"/>
          <w:color w:val="000000" w:themeColor="text1"/>
          <w:sz w:val="20"/>
          <w:szCs w:val="20"/>
        </w:rPr>
        <w:t xml:space="preserve">Received </w:t>
      </w:r>
      <w:r w:rsidR="00056768" w:rsidRPr="00E2101A">
        <w:rPr>
          <w:rFonts w:ascii="Times New Roman" w:hAnsi="Times New Roman" w:cs="Times New Roman"/>
          <w:color w:val="000000" w:themeColor="text1"/>
          <w:sz w:val="20"/>
          <w:szCs w:val="20"/>
        </w:rPr>
        <w:t>2</w:t>
      </w:r>
      <w:r w:rsidR="00A32B25" w:rsidRPr="00E2101A">
        <w:rPr>
          <w:rFonts w:ascii="Times New Roman" w:hAnsi="Times New Roman" w:cs="Times New Roman"/>
          <w:color w:val="000000" w:themeColor="text1"/>
          <w:sz w:val="20"/>
          <w:szCs w:val="20"/>
        </w:rPr>
        <w:t>0</w:t>
      </w:r>
      <w:r w:rsidR="009B218A" w:rsidRPr="00E2101A">
        <w:rPr>
          <w:rFonts w:ascii="Times New Roman" w:hAnsi="Times New Roman" w:cs="Times New Roman"/>
          <w:color w:val="000000" w:themeColor="text1"/>
          <w:sz w:val="20"/>
          <w:szCs w:val="20"/>
        </w:rPr>
        <w:t xml:space="preserve"> </w:t>
      </w:r>
      <w:r w:rsidR="00056768" w:rsidRPr="00E2101A">
        <w:rPr>
          <w:rFonts w:ascii="Times New Roman" w:hAnsi="Times New Roman" w:cs="Times New Roman"/>
          <w:color w:val="000000" w:themeColor="text1"/>
          <w:sz w:val="20"/>
          <w:szCs w:val="20"/>
        </w:rPr>
        <w:t xml:space="preserve">Mei </w:t>
      </w:r>
      <w:r w:rsidR="002C3BF9" w:rsidRPr="00E2101A">
        <w:rPr>
          <w:rFonts w:ascii="Times New Roman" w:hAnsi="Times New Roman" w:cs="Times New Roman"/>
          <w:color w:val="000000" w:themeColor="text1"/>
          <w:sz w:val="20"/>
          <w:szCs w:val="20"/>
        </w:rPr>
        <w:t xml:space="preserve">2025, Accepted </w:t>
      </w:r>
      <w:r w:rsidR="00A32B25" w:rsidRPr="00E2101A">
        <w:rPr>
          <w:rFonts w:ascii="Times New Roman" w:hAnsi="Times New Roman" w:cs="Times New Roman"/>
          <w:color w:val="000000" w:themeColor="text1"/>
          <w:sz w:val="20"/>
          <w:szCs w:val="20"/>
        </w:rPr>
        <w:t>2</w:t>
      </w:r>
      <w:r w:rsidR="0078445D" w:rsidRPr="00E2101A">
        <w:rPr>
          <w:rFonts w:ascii="Times New Roman" w:hAnsi="Times New Roman" w:cs="Times New Roman"/>
          <w:color w:val="000000" w:themeColor="text1"/>
          <w:sz w:val="20"/>
          <w:szCs w:val="20"/>
        </w:rPr>
        <w:t>8</w:t>
      </w:r>
      <w:r w:rsidR="00C5752C" w:rsidRPr="00E2101A">
        <w:rPr>
          <w:rFonts w:ascii="Times New Roman" w:hAnsi="Times New Roman" w:cs="Times New Roman"/>
          <w:color w:val="000000" w:themeColor="text1"/>
          <w:sz w:val="20"/>
          <w:szCs w:val="20"/>
        </w:rPr>
        <w:t xml:space="preserve"> </w:t>
      </w:r>
      <w:r w:rsidR="00056768" w:rsidRPr="00E2101A">
        <w:rPr>
          <w:rFonts w:ascii="Times New Roman" w:hAnsi="Times New Roman" w:cs="Times New Roman"/>
          <w:color w:val="000000" w:themeColor="text1"/>
          <w:sz w:val="20"/>
          <w:szCs w:val="20"/>
        </w:rPr>
        <w:t xml:space="preserve">Mei </w:t>
      </w:r>
      <w:r w:rsidR="00113739" w:rsidRPr="00E2101A">
        <w:rPr>
          <w:rFonts w:ascii="Times New Roman" w:hAnsi="Times New Roman" w:cs="Times New Roman"/>
          <w:color w:val="000000" w:themeColor="text1"/>
          <w:sz w:val="20"/>
          <w:szCs w:val="20"/>
        </w:rPr>
        <w:t>2026</w:t>
      </w:r>
      <w:r w:rsidR="002C3BF9" w:rsidRPr="00E2101A">
        <w:rPr>
          <w:rFonts w:ascii="Times New Roman" w:hAnsi="Times New Roman" w:cs="Times New Roman"/>
          <w:color w:val="000000" w:themeColor="text1"/>
          <w:sz w:val="20"/>
          <w:szCs w:val="20"/>
        </w:rPr>
        <w:t xml:space="preserve">, Published </w:t>
      </w:r>
      <w:r w:rsidR="00B561DB" w:rsidRPr="00E2101A">
        <w:rPr>
          <w:rFonts w:ascii="Times New Roman" w:hAnsi="Times New Roman" w:cs="Times New Roman"/>
          <w:color w:val="000000" w:themeColor="text1"/>
          <w:sz w:val="20"/>
          <w:szCs w:val="20"/>
        </w:rPr>
        <w:t>25 Juni</w:t>
      </w:r>
      <w:r w:rsidR="00927909" w:rsidRPr="00E2101A">
        <w:rPr>
          <w:rFonts w:ascii="Times New Roman" w:hAnsi="Times New Roman" w:cs="Times New Roman"/>
          <w:color w:val="000000" w:themeColor="text1"/>
          <w:sz w:val="20"/>
          <w:szCs w:val="20"/>
        </w:rPr>
        <w:t xml:space="preserve"> </w:t>
      </w:r>
      <w:r w:rsidR="00113739" w:rsidRPr="00E2101A">
        <w:rPr>
          <w:rFonts w:ascii="Times New Roman" w:hAnsi="Times New Roman" w:cs="Times New Roman"/>
          <w:color w:val="000000" w:themeColor="text1"/>
          <w:sz w:val="20"/>
          <w:szCs w:val="20"/>
        </w:rPr>
        <w:t>2026</w:t>
      </w:r>
      <w:r w:rsidR="00457636" w:rsidRPr="00E2101A">
        <w:rPr>
          <w:rFonts w:ascii="Times New Roman" w:hAnsi="Times New Roman" w:cs="Times New Roman"/>
          <w:color w:val="000000" w:themeColor="text1"/>
          <w:sz w:val="20"/>
          <w:szCs w:val="20"/>
        </w:rPr>
        <w:t xml:space="preserve"> </w:t>
      </w:r>
    </w:p>
    <w:p w:rsidR="0087344F" w:rsidRPr="00477A08" w:rsidRDefault="002B488D" w:rsidP="00654375">
      <w:pPr>
        <w:spacing w:line="360"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PENDAHULUAN</w:t>
      </w:r>
    </w:p>
    <w:p w:rsidR="00654375" w:rsidRPr="001A15FF" w:rsidRDefault="00654375" w:rsidP="00654375">
      <w:pPr>
        <w:pStyle w:val="NormalWeb"/>
        <w:shd w:val="clear" w:color="auto" w:fill="FFFFFF"/>
        <w:spacing w:before="0" w:beforeAutospacing="0" w:after="0" w:afterAutospacing="0" w:line="360" w:lineRule="auto"/>
        <w:ind w:firstLine="567"/>
        <w:jc w:val="both"/>
        <w:rPr>
          <w:color w:val="222222"/>
          <w:sz w:val="22"/>
          <w:szCs w:val="22"/>
        </w:rPr>
      </w:pPr>
      <w:r w:rsidRPr="001A15FF">
        <w:rPr>
          <w:color w:val="222222"/>
          <w:sz w:val="22"/>
          <w:szCs w:val="22"/>
        </w:rPr>
        <w:t>Sebagai makhluk yang tidak bisa hidup sendiri, manusia selalu membutuhkan kehadiran orang lain dalam menjalani kehidupannya. Dalam keseharian, interaksi antar individu terjadi secara alami di dalam lingkungan sosial sebagai upaya pemenuhan kebutuhan, baik yang menyangkut aspek fisik maupun kebutuhan yang bersifat batiniah. Dari interaksi yang terus berlangsung ini, terbentuk berbagai pola hubungan sosial, mulai dari hubungan antarindividu hingga hubungan yang lebih luas dalam lingkup kelompok masyarakat. Di antara berbagai bentuk hubungan sosial tersebut, hubungan antara laki-laki dan perempuan yang terikat dalam sebuah perkawinan menempati posisi yang sangat fundamental. Perkawinan bukan sekadar penyatuan dua insan secara fisik, melainkan juga merupakan institusi yang sarat dengan nilai hukum, etika, dan spiritualitas. Hal ini tercermin dalam Pasal 1 Undang-Undang Perkawinan, yang mendefinisikan perkawinan sebagai ikatan lahir dan batin antara seorang pria dan seorang wanita sebagai pasangan suami istri, dengan tujuan mewujudkan kehidupan rumah tangga yang bahagia, langgeng, dan berlandaskan nilai-nilai Ketuhanan Yang Maha Esa. Rumusan tersebut mengandung beberapa elemen inti yang saling berkaitan, yakni terbentuknya ikatan yang mencakup dimensi lahiriah sekaligus batiniah, terjalin antara seorang pria dan wanita dalam status suami istri, berorientasi pada pembentukan keluarga yang harmonis dan abadi, serta senantiasa dijiwai oleh prinsip-prinsip keagamaan.</w:t>
      </w:r>
    </w:p>
    <w:p w:rsidR="00654375" w:rsidRPr="001A15FF" w:rsidRDefault="00654375" w:rsidP="00654375">
      <w:pPr>
        <w:pStyle w:val="NormalWeb"/>
        <w:shd w:val="clear" w:color="auto" w:fill="FFFFFF"/>
        <w:spacing w:before="0" w:beforeAutospacing="0" w:after="0" w:afterAutospacing="0" w:line="360" w:lineRule="auto"/>
        <w:ind w:firstLine="567"/>
        <w:jc w:val="both"/>
        <w:rPr>
          <w:color w:val="222222"/>
          <w:sz w:val="22"/>
          <w:szCs w:val="22"/>
        </w:rPr>
      </w:pPr>
      <w:r w:rsidRPr="001A15FF">
        <w:rPr>
          <w:sz w:val="22"/>
          <w:szCs w:val="22"/>
        </w:rPr>
        <w:t>Indonesia merupakan negara yang memiliki keragaman budaya dan adat istiadat yang terbentuk melalui proses sejarah yang panjang. Keberagaman tersebut tercermin dari adanya berbagai kelompok masyarakat dengan latar belakang agama dan kepercayaan yang berbeda. Kondisi ini tidak hanya menjadi ciri khas bangsa Indonesia, tetapi juga memengaruhi pola kehidupan sosial masyarakat, termasuk dalam pelaksanaan perkawinan. Dalam praktiknya, aturan dan tata cara perkawinan di Indonesia menunjukkan variasi yang cukup signifikan. Hal ini dipengaruhi oleh karakter masyarakat yang majemuk, serta kuatnya peran nilai-nilai adat dan ajaran agama dalam mengatur kehidupan sosial. Oleh karena itu, perkawinan tidak hanya dipahami sebagai hubungan personal antara dua individu, tetapi juga sebagai peristiwa sosial yang sarat dengan nilai budaya dan norma keagamaan. Di tengah keberagaman tersebut, fenomena perkawinan beda agama menjadi salah satu realitas yang muncul dalam masyarakat. Perkawinan beda agama dapat dipahami sebagai hubungan antara laki-laki dan perempuan yang memiliki keyakinan yang berbeda, namun tetap berupaya membangun kehidupan bersama dalam satu ikatan keluarga. Meskipun demikian, praktik ini seringkali menimbulkan berbagai persoalan, baik dari aspek hukum maupun sosial, karena berkaitan dengan perbedaan norma dan sistem nilai yang dianut oleh masing-masing pihak.</w:t>
      </w:r>
      <w:r w:rsidRPr="001A15FF">
        <w:rPr>
          <w:color w:val="FFFFFF" w:themeColor="background1"/>
          <w:sz w:val="22"/>
          <w:szCs w:val="22"/>
        </w:rPr>
        <w:t>”</w:t>
      </w:r>
    </w:p>
    <w:p w:rsidR="00654375" w:rsidRPr="001A15FF" w:rsidRDefault="00654375" w:rsidP="00654375">
      <w:pPr>
        <w:pStyle w:val="NormalWeb"/>
        <w:shd w:val="clear" w:color="auto" w:fill="FFFFFF"/>
        <w:spacing w:before="0" w:beforeAutospacing="0" w:after="0" w:afterAutospacing="0" w:line="360" w:lineRule="auto"/>
        <w:ind w:firstLine="567"/>
        <w:jc w:val="both"/>
        <w:rPr>
          <w:sz w:val="22"/>
          <w:szCs w:val="22"/>
        </w:rPr>
      </w:pPr>
      <w:r w:rsidRPr="001A15FF">
        <w:rPr>
          <w:sz w:val="22"/>
          <w:szCs w:val="22"/>
        </w:rPr>
        <w:t>Indonesia dikenal sebagai negara dengan tingkat keragaman budaya, adat istiadat, serta sistem kepercayaan yang sangat tinggi, yang terbentuk melalui proses sejarah yang panjang. Keberagaman ini tampak dalam kehidupan kelompok-kelompok masyarakat yang menganut agama dan keyakinan berbeda, dan pada saat yang sama menjadi identitas fundamental bangsa sekaligus faktor yang memengaruhi konfigurasi relasi sosial di berbagai bidang, termasuk dalam praktik perkawinan. Dalam tataran empiris, pengaturan dan tata cara pelaksanaan perkawinan di Indonesia menunjukkan variasi yang cukup kompleks. Pluralitas tersebut tidak hanya disebabkan oleh sifat masyarakat yang majemuk, tetapi juga dipengaruhi oleh kuatnya peran adat dan ajaran agama sebagai sumber norma yang mengatur kehidupan sosial. Akibatnya, perkawinan tidak dapat dipahami semata sebagai hubungan privat antara dua individu, melainkan sebagai peristiwa sosial yang sarat muatan nilai budaya dan norma keagamaan yang harus dipertanggungjawabkan di hadapan komunitas dan negara.</w:t>
      </w:r>
    </w:p>
    <w:p w:rsidR="00654375" w:rsidRPr="001A15FF" w:rsidRDefault="00654375" w:rsidP="00654375">
      <w:pPr>
        <w:spacing w:line="360" w:lineRule="auto"/>
        <w:ind w:firstLine="567"/>
        <w:jc w:val="both"/>
        <w:rPr>
          <w:rFonts w:ascii="Times New Roman" w:eastAsia="Times New Roman" w:hAnsi="Times New Roman" w:cs="Times New Roman"/>
          <w:sz w:val="22"/>
          <w:szCs w:val="22"/>
          <w:lang w:val="en-ID"/>
        </w:rPr>
      </w:pPr>
      <w:r w:rsidRPr="001A15FF">
        <w:rPr>
          <w:rFonts w:ascii="Times New Roman" w:eastAsia="Times New Roman" w:hAnsi="Times New Roman" w:cs="Times New Roman"/>
          <w:sz w:val="22"/>
          <w:szCs w:val="22"/>
          <w:lang w:val="en-ID"/>
        </w:rPr>
        <w:t>Di tengah realitas masyarakat Indonesia yang sejak lama dikenal sebagai bangsa yang kaya akan keberagaman, baik dari sisi suku, budaya, maupun keyakinan agama,  fenomena perkawinan antara dua individu yang berbeda agama telah tumbuh dan berkembang sebagai suatu kenyataan sosial yang nyata dan tidak bisa begitu saja diabaikan atau disangkal keberadaannya. Fenomena ini semakin tampak menonjol terutama di kawasan perkotaan, di mana intensitas interaksi antarindividu yang berlatar belakang berbeda jauh lebih tinggi, serta dalam ruang-ruang pergaulan sosial yang kian hari kian terbuka dan tidak lagi dibatasi oleh sekat-sekat primordial seperti agama, etnis, maupun asal-usul daerah.Perkawinan beda agama, dalam pengertian yang paling mendasar, dapat dipahami sebagai sebuah ikatan perkawinan yang terjalin antara seorang laki-laki dan seorang perempuan yang masing-masing memeluk keyakinan atau agama yang berbeda satu sama lain, namun keduanya memiliki tekad dan komitmen yang kuat untuk bersama-sama membangun kehidupan rumah tangga dalam satu kesatuan unit keluarga yang utuh. Dengan kata lain, perbedaan agama yang ada di antara keduanya tidak serta-merta menjadi penghalang bagi mereka untuk mewujudkan cita-cita kehidupan berumah tangga yang harmonis dan berkelanjutan.</w:t>
      </w:r>
    </w:p>
    <w:p w:rsidR="00654375" w:rsidRPr="001A15FF" w:rsidRDefault="00654375" w:rsidP="00654375">
      <w:pPr>
        <w:spacing w:line="360" w:lineRule="auto"/>
        <w:ind w:firstLine="567"/>
        <w:jc w:val="both"/>
        <w:rPr>
          <w:rFonts w:ascii="Times New Roman" w:eastAsia="Times New Roman" w:hAnsi="Times New Roman" w:cs="Times New Roman"/>
          <w:sz w:val="22"/>
          <w:szCs w:val="22"/>
          <w:lang w:val="en-ID"/>
        </w:rPr>
      </w:pPr>
      <w:r w:rsidRPr="001A15FF">
        <w:rPr>
          <w:rFonts w:ascii="Times New Roman" w:eastAsia="Times New Roman" w:hAnsi="Times New Roman" w:cs="Times New Roman"/>
          <w:sz w:val="22"/>
          <w:szCs w:val="22"/>
          <w:lang w:val="en-ID"/>
        </w:rPr>
        <w:t>Akan tetapi, justru di sinilah letak kompleksitas persoalan yang sesungguhnya. Keberadaan perkawinan beda agama tidak hadir dalam ruang yang kosong dan bebas dari tekanan, melainkan berada di persimpangan antara tiga domain yang saling berhadapan dan kerap kali saling bertabrakan satu sama lain. Pertama, domain hukum positif yang berlaku di Indonesia, yang memiliki ketentuan-ketentuan tertentu mengenai sah atau tidaknya suatu perkawinan. Kedua, doktrin dan ajaran keagamaan dari masing-masing agama yang dianut, yang dalam banyak hal melarang atau setidaknya memberi batasan ketat terhadap praktik perkawinan lintas iman. Ketiga, nilai-nilai sosial dan norma-norma kemasyarakatan yang hidup, tumbuh, dan mengakar dalam keseharian masyarakat. Ketiga domain inilah yang menjadikan perkawinan beda agama bukan sekadar urusan pribadi dua individu, tetapi juga sebuah isu yang memiliki dimensi hukum, teologis, dan sosiologis yang luas dan mendalam.</w:t>
      </w:r>
    </w:p>
    <w:p w:rsidR="00654375" w:rsidRPr="001A15FF" w:rsidRDefault="00654375" w:rsidP="00654375">
      <w:pPr>
        <w:pStyle w:val="NormalWeb"/>
        <w:shd w:val="clear" w:color="auto" w:fill="FFFFFF"/>
        <w:spacing w:before="0" w:beforeAutospacing="0" w:after="0" w:afterAutospacing="0" w:line="360" w:lineRule="auto"/>
        <w:ind w:firstLine="567"/>
        <w:jc w:val="both"/>
        <w:rPr>
          <w:sz w:val="22"/>
          <w:szCs w:val="22"/>
        </w:rPr>
      </w:pPr>
      <w:r w:rsidRPr="001A15FF">
        <w:rPr>
          <w:sz w:val="22"/>
          <w:szCs w:val="22"/>
        </w:rPr>
        <w:t>Dari perspektif hukum positif, Undang-Undang Nomor 1 Tahun 1974 tentang Perkawinan menempatkan hukum agama sebagai dasar keabsahan perkawinan melalui ketentuan Pasal 2 ayat (1), sehingga secara doktrinal menutup ruang bagi perkawinan yang tidak sesuai dengan hukum agama masing-masing pihak. Di sisi lain, dalam praktik, pernah muncul konstruksi yurisprudensi misalnya Putusan Mahkamah Agung No. 1400 K/Pdt/1986 yang membuka kemungkinan pencatatan perkawinan beda agama melalui penetapan pengadilan, sehingga menimbulkan ambivalensi dan ketidakpastian dalam penegakan hukum. Ketegangan ini semakin mengemuka dengan hadirnya kebijakan terbaru, seperti Surat Edaran Mahkamah Agung Nomor 2 Tahun 2023, yang justru mengarahkan hakim untuk tidak mengabulkan permohonan pencatatan perkawinan beda agama.</w:t>
      </w:r>
      <w:r w:rsidRPr="001A15FF">
        <w:rPr>
          <w:color w:val="FFFFFF" w:themeColor="background1"/>
          <w:sz w:val="22"/>
          <w:szCs w:val="22"/>
        </w:rPr>
        <w:t>”</w:t>
      </w:r>
      <w:r w:rsidRPr="001A15FF">
        <w:rPr>
          <w:sz w:val="22"/>
          <w:szCs w:val="22"/>
        </w:rPr>
        <w:t>Di ranah sosial-keagamaan, banyak otoritas keagamaan di Indonesia, misalnya melalui fatwa lembaga keagamaan, menyatakan penolakan terhadap praktik perkawinan beda agama, sehingga pasangan yang menjalaninya kerap berhadapan tidak hanya dengan hambatan administratif, tetapi juga stigma sosial dan resistensi dari lingkungan terdekat. Kondisi ini menimbulkan serangkaian implikasi lanjutan, antara lain terkait status keabsahan perkawinan, pencatatan sipil, kedudukan anak, hak waris, serta akses terhadap pelayanan publik, yang pada akhirnya mempertegas urgensi pengkajian kritis terhadap kedudukan hukum dan konsekuensi yuridis.</w:t>
      </w:r>
    </w:p>
    <w:p w:rsidR="00654375" w:rsidRPr="001A15FF" w:rsidRDefault="00654375" w:rsidP="00654375">
      <w:pPr>
        <w:pStyle w:val="BodyText"/>
        <w:spacing w:line="360" w:lineRule="auto"/>
        <w:ind w:left="0" w:firstLine="567"/>
        <w:rPr>
          <w:color w:val="FFFFFF" w:themeColor="background1"/>
          <w:sz w:val="22"/>
          <w:szCs w:val="22"/>
        </w:rPr>
      </w:pPr>
      <w:r w:rsidRPr="001A15FF">
        <w:rPr>
          <w:sz w:val="22"/>
          <w:szCs w:val="22"/>
        </w:rPr>
        <w:t>Indonesia telah memiliki kerangka hukum yang secara khusus mengatur tentang perkawinan dan berlaku secara nasional bagi seluruh warga negaranya. Kerangka hukum tersebut dituangkan dalam Undang-Undang Nomor 1 Tahun 1974 tentang Perkawinan, yang dalam pelaksanaannya diperkuat oleh Peraturan Pemerintah Nomor 9 Tahun 1975. Lahirnya undang-undang ini menjadi momen bersejarah karena berhasil menyatukan berbagai ketentuan hukum perkawinan yang sebelumnya beragam dan tersebar, mengingat di masa lampau masing-masing golongan masyarakat di Indonesia tunduk pada aturan yang berbeda-beda.</w:t>
      </w:r>
      <w:r w:rsidRPr="001A15FF">
        <w:rPr>
          <w:color w:val="FFFFFF" w:themeColor="background1"/>
          <w:sz w:val="22"/>
          <w:szCs w:val="22"/>
        </w:rPr>
        <w:t>”</w:t>
      </w:r>
      <w:r w:rsidRPr="001A15FF">
        <w:rPr>
          <w:sz w:val="22"/>
          <w:szCs w:val="22"/>
        </w:rPr>
        <w:t xml:space="preserve">Meskipun demikian, seiring dengan berlakunya Undang-Undang Perkawinan tersebut, masih terdapat sejumlah persoalan yang terus menjadi perdebatan, salah satunya berkaitan dengan perkawinan campuran. Fenomena ini tidak hanya terjadi di kalangan tertentu, seperti publik figur, tetapi juga telah meluas di tengah masyarakat umum di berbagai daerah di Indonesia. Dalam praktiknya, perkawinan campuran seringkali menimbulkan berbagai persoalan hukum. Permasalahan tersebut mencakup pemenuhan syarat-syarat perkawinan, prosedur yang harus ditempuh, hingga penentuan hukum mana yang seharusnya digunakan. Perbedaan dasar hukum serta beragamnya penafsiran terhadap ketentuan yang berlaku kerap menjadi sumber utama kesulitan. Hal ini tidak terlepas dari adanya lebih dari satu sistem hukum yang berpotensi digunakan, sementara para pihak yang terlibat tidak selalu memiliki pemahaman yang memadai mengenai kerangka hukum yang berlaku di Indonesia. </w:t>
      </w:r>
    </w:p>
    <w:p w:rsidR="00654375" w:rsidRPr="001A15FF" w:rsidRDefault="00654375" w:rsidP="00654375">
      <w:pPr>
        <w:pStyle w:val="BodyText"/>
        <w:spacing w:line="360" w:lineRule="auto"/>
        <w:ind w:left="0" w:firstLine="567"/>
        <w:rPr>
          <w:color w:val="FFFFFF" w:themeColor="background1"/>
          <w:sz w:val="22"/>
          <w:szCs w:val="22"/>
        </w:rPr>
      </w:pPr>
      <w:r w:rsidRPr="001A15FF">
        <w:rPr>
          <w:sz w:val="22"/>
          <w:szCs w:val="22"/>
        </w:rPr>
        <w:t>Dengan demikian, diperlukan suatu pengaturan yang lebih rinci dan tegas untuk menghindari terjadinya penafsiran yang berbeda-beda serta ketidakpastian hukum dalam pelaksanaan perkawinan campuran. Kejelasan norma hukum menjadi hal yang krusial guna menjamin kepastian serta memberikan perlindungan hukum bagi para pihak yang terlibat. Sebelum diberlakukannya Undang-Undang Nomor 1 Tahun 1974, ketentuan mengenai perkawinan campuran di Indonesia telah diatur dalam berbagai perangkat hukum. Beberapa di antaranya meliputi Kitab Undang-Undang Hukum Perdata (Burgerlijk Wetboek) yang diberlakukan melalui Staatsblad Nomor 23 Tahun 1847, Ordonansi Perkawinan Luar Biasa (S. 1933-74 jo. S. 1947-64), serta Peraturan Perkawinan Campuran (Staatsblad 1898 Nomor 158) yang dikenal sebagai Gemengde Huwelijken Regeling (GHR). Sebagaimana diungkapkan dalam kajian pada jurnal Analogi Hukum yang membahas status kewarisan anak dari perkawinan beda agama, keberagaman masyarakat Indonesia turut melahirkan pluralitas sistem hukum yang mengatur perkawinan. Setiap sistem hukum tersebut memiliki karakteristik dan ketentuan tersendiri, sehingga dalam praktiknya sering menimbulkan kompleksitas, terutama dalam kasus perkawinan yang melibatkan perbedaan agama, suku, maupun latar belakang adat.</w:t>
      </w:r>
      <w:r w:rsidRPr="001A15FF">
        <w:rPr>
          <w:color w:val="FFFFFF" w:themeColor="background1"/>
          <w:sz w:val="22"/>
          <w:szCs w:val="22"/>
        </w:rPr>
        <w:t>”</w:t>
      </w:r>
    </w:p>
    <w:p w:rsidR="00654375" w:rsidRPr="001A15FF" w:rsidRDefault="00654375" w:rsidP="00654375">
      <w:pPr>
        <w:pStyle w:val="BodyText"/>
        <w:spacing w:line="360" w:lineRule="auto"/>
        <w:ind w:left="0" w:firstLine="567"/>
        <w:rPr>
          <w:sz w:val="22"/>
          <w:szCs w:val="22"/>
        </w:rPr>
      </w:pPr>
      <w:r w:rsidRPr="001A15FF">
        <w:rPr>
          <w:sz w:val="22"/>
          <w:szCs w:val="22"/>
        </w:rPr>
        <w:t>Kondisi tersebut tercermin dalam salah satu kasus yang terjadi di Kota Surabaya, ketika pasangan dengan perbedaan agama mengalami penolakan dalam proses administrasi pencatatan perkawinan. Penolakan tersebut kemudian mendorong pasangan yang bersangkutan untuk mengajukan permohonan ke Pengadilan Negeri Surabaya agar memperoleh penetapan hukum sebagai dasar pencatatan perkawinan di Dinas Kependudukan dan Pencatatan Sipil. Permohonan yang diajukan pada 13 April 2022 tersebut pada akhirnya dikabulkan melalui penetapan Nomor 916/Pdt.P/2022/PN Sby tertanggal 26 April 2022, sehingga perkawinan mereka dapat diakui dan dicatat secara resmi menurut hukum yang berlaku. Namun demikian, perkembangan kebijakan hukum menunjukkan arah yang berbeda. Mahkamah Agung kemudian mengeluarkan Surat Edaran Mahkamah Agung (SEMA) Nomor 2 Tahun 2023 yang secara tegas memberikan pedoman bagi hakim untuk tidak mengabulkan permohonan pencatatan perkawinan antara pasangan yang berbeda agama dan kepercayaan. Dengan adanya ketentuan ini, pengadilan tidak lagi memiliki ruang untuk menetapkan legalitas perkawinan beda agama melalui mekanisme permohonan. Kebijakan tersebut pada dasarnya sejalan dengan putusan Mahkamah Konstitusi, antara lain Putusan Nomor 68/PUU-XII/2014 dan Nomor 24/PUU-XX/2022, yang pada pokoknya menolak upaya legalisasi perkawinan beda agama dalam sistem hukum nasional. Hal ini menunjukkan adanya konsistensi arah kebijakan hukum di Indonesia yang menempatkan aspek kesamaan agama sebagai elemen penting dalam penyelenggaraan perkawinan.</w:t>
      </w:r>
      <w:r w:rsidRPr="001A15FF">
        <w:rPr>
          <w:color w:val="FFFFFF" w:themeColor="background1"/>
          <w:sz w:val="22"/>
          <w:szCs w:val="22"/>
        </w:rPr>
        <w:t>”</w:t>
      </w:r>
    </w:p>
    <w:p w:rsidR="00654375" w:rsidRPr="001A15FF" w:rsidRDefault="00654375" w:rsidP="00654375">
      <w:pPr>
        <w:pStyle w:val="BodyText"/>
        <w:spacing w:line="360" w:lineRule="auto"/>
        <w:ind w:left="0" w:firstLine="567"/>
        <w:rPr>
          <w:sz w:val="22"/>
          <w:szCs w:val="22"/>
        </w:rPr>
      </w:pPr>
      <w:r w:rsidRPr="001A15FF">
        <w:rPr>
          <w:sz w:val="22"/>
          <w:szCs w:val="22"/>
        </w:rPr>
        <w:t>Berdasarkan pemaparan tersebut, dapat diketahui adanya disharmonisasi dalam pengaturan perkawinan beda agama di Indonesia. Ketidaksesuaian ini terlihat dari perbedaan antara penjelasan Pasal 35 huruf a Undang-Undang Administrasi Kependudukan dan ketentuan yang diatur dalam Pasal 2 dan Pasal 8 Undang-Undang Nomor 1 Tahun 1974 tentang Perkawinan. Dalam konteks ini, Undang-Undang Administrasi Kependudukan cenderung membuka kemungkinan pencatatan perkawinan beda agama, sedangkan Undang-Undang Perkawinan menegaskan bahwa keabsahan perkawinan harus didasarkan pada hukum agama masing-masing.</w:t>
      </w:r>
      <w:r w:rsidRPr="001A15FF">
        <w:rPr>
          <w:color w:val="FFFFFF" w:themeColor="background1"/>
          <w:sz w:val="22"/>
          <w:szCs w:val="22"/>
        </w:rPr>
        <w:t>”</w:t>
      </w:r>
      <w:r w:rsidRPr="001A15FF">
        <w:rPr>
          <w:sz w:val="22"/>
          <w:szCs w:val="22"/>
        </w:rPr>
        <w:t>Walaupun Pasal 8 huruf f Undang-Undang Perkawinan tidak secara eksplisit memuat larangan terhadap perkawinan beda agama, secara substansial norma tersebut tidak dapat dibaca terlepas dari kerangka keseluruhan undang-undang, khususnya Pasal 2 ayat (1). Pasal 2 ayat (1) menegaskan bahwa keabsahan perkawinan digantungkan pada hukum agama dan kepercayaan para pihak, sehingga negara pada dasarnya “melimpahkan” penentuan sah atau tidaknya perkawinan kepada rezim hukum agama. Dalam konstruksi seperti ini, ketiadaan frasa larangan eksplisit terhadap perkawinan beda agama bukan berarti membuka ruang kebolehan, melainkan justru menegaskan bahwa apabila hukum agama tidak mengakui, maka negara pun tidak memiliki dasar untuk menyatakan perkawinan tersebut sah.</w:t>
      </w:r>
      <w:r w:rsidRPr="001A15FF">
        <w:rPr>
          <w:color w:val="FFFFFF" w:themeColor="background1"/>
          <w:sz w:val="22"/>
          <w:szCs w:val="22"/>
        </w:rPr>
        <w:t>”</w:t>
      </w:r>
    </w:p>
    <w:p w:rsidR="00654375" w:rsidRPr="001A15FF" w:rsidRDefault="00654375" w:rsidP="00654375">
      <w:pPr>
        <w:pStyle w:val="BodyText"/>
        <w:spacing w:line="360" w:lineRule="auto"/>
        <w:ind w:left="0" w:firstLine="567"/>
        <w:rPr>
          <w:sz w:val="22"/>
          <w:szCs w:val="22"/>
        </w:rPr>
      </w:pPr>
      <w:r w:rsidRPr="001A15FF">
        <w:rPr>
          <w:sz w:val="22"/>
          <w:szCs w:val="22"/>
        </w:rPr>
        <w:t>Secara normatif, hal ini menimbulkan masalah serius dari perspektif perlindungan hak asasi dan kepastian hukum. Di satu sisi, undang-undang perkawinan mengklaim berlaku secara nasional dan netral, tetapi pada sisi lain, keabsahan hubungan privat warga negara sepenuhnya bergantung pada doktrin agama yang sifatnya beragam dan tidak selalu sejalan dengan prinsip non diskriminasi. Akibatnya, pasangan beda agama berhadapan dengan situasi “jalan buntu”: undang-undang tidak melarang secara eksplisit, tetapi mekanisme yang disediakan undang-undang, yakni syarat sah menurut agama, secara praktis menutup kemungkinan mereka untuk membentuk keluarga yang diakui negara. Ini menimbulkan kesan bahwa negara “bersembunyi” di balik norma agama untuk menghindari pengaturan yang tegas, padahal dampaknya secara sosial dan yuridis sangat nyata bagi warga negara. Dari sudut pandang teori hukum, hal ini mencerminkan ketegangan antara model negara hukum yang menjunjung supremasi konstitusi dan hak asasi, dengan model negara yang menempatkan hukum agama sebagai sumber legitimasi utama dalam bidang perkawinan. Pengaturan yang menempatkan aspek keagamaan sebagai faktor penentu sah/tidaknya perkawinan menjadikan akses terhadap hak-hak keluarga (pencatatan, status anak, waris, dan seterusnya) sangat ditentukan oleh interpretasi lembaga keagamaan yang bersifat non-negara. Di titik ini, dapat diajukan kritik bahwa negara seolah melepaskan tanggung jawabnya untuk menyediakan kerangka hukum yang jelas, konsisten, dan inklusif, dan justru membiarkan warganya “terombang-ambing” di antara aturan agama, fatwa, dan praktik administratif.</w:t>
      </w:r>
    </w:p>
    <w:p w:rsidR="00654375" w:rsidRPr="001A15FF" w:rsidRDefault="00654375" w:rsidP="00654375">
      <w:pPr>
        <w:pStyle w:val="BodyText"/>
        <w:spacing w:line="360" w:lineRule="auto"/>
        <w:ind w:left="0" w:firstLine="567"/>
        <w:rPr>
          <w:sz w:val="22"/>
          <w:szCs w:val="22"/>
        </w:rPr>
      </w:pPr>
      <w:r w:rsidRPr="001A15FF">
        <w:rPr>
          <w:sz w:val="22"/>
          <w:szCs w:val="22"/>
        </w:rPr>
        <w:t>Secara sosiologis, konsekuensinya adalah lahirnya berbagai praktik “jalan memutar”: perkawinan di luar negeri, perpindahan agama secara formal tanpa keyakinan substantif, atau penggunaan penetapan pengadilan semata-mata sebagai instrumen administratif. Praktik-praktik ini menunjukkan bahwa norma yang terlalu menutup ruang dialog terhadap realitas sosial justru mendorong lahirnya solusi-solusi semi-formal yang memperlemah wibawa hukum itu sendiri. Dengan demikian, dapat dikatakan bahwa penempatan aspek keagamaan sebagai satu-satunya penentu keabsahan perkawinan, tanpa mekanisme akomodasi yang memadai bagi pasangan beda agama, melahirkan paradoks: di satu sisi dimaksudkan untuk menjaga kesesuaian dengan ajaran agama, tetapi di sisi lain membuka ruang ketidakpastian hukum, ketidakadilan substantif, dan praktik-praktik “abu-abu” dalam penyelenggaraan perkawinan.Di sisi lain, penjelasan Pasal 35 Undang-Undang Nomor 23 Tahun 2006 tentang Administrasi Kependudukan mengatur bahwa setiap peristiwa penting, termasuk perkawinan, wajib dilaporkan dan dicatatkan kepada instansi yang berwenang setelah memenuhi persyaratan administratif. Dalam praktiknya, ketentuan ini sering ditafsirkan sebagai dasar untuk memungkinkan pencatatan perkawinan beda agama, sehingga memunculkan perbedaan pemahaman dalam penerapannya. Perbedaan pengaturan dan interpretasi tersebut pada akhirnya menimbulkan ketidakpastian hukum, khususnya terkait dengan keabsahan serta akibat hukum dari perkawinan beda agama di Indonesia. Oleh karena itu, diperlukan analisis yang lebih mendalam guna mengkaji dasar hukum yang mengatur perkawinan beda agama beserta implikasi yuridis yang ditimbulkannya.</w:t>
      </w:r>
    </w:p>
    <w:p w:rsidR="00654375" w:rsidRPr="001A15FF" w:rsidRDefault="00654375" w:rsidP="00654375">
      <w:pPr>
        <w:spacing w:line="360" w:lineRule="auto"/>
        <w:ind w:firstLine="567"/>
        <w:jc w:val="both"/>
        <w:rPr>
          <w:rFonts w:ascii="Times New Roman" w:eastAsia="Times New Roman" w:hAnsi="Times New Roman" w:cs="Times New Roman"/>
          <w:b/>
          <w:bCs/>
          <w:sz w:val="22"/>
          <w:szCs w:val="22"/>
          <w:lang w:val="id-ID"/>
        </w:rPr>
      </w:pPr>
    </w:p>
    <w:p w:rsidR="00654375" w:rsidRPr="001A15FF" w:rsidRDefault="00654375" w:rsidP="00654375">
      <w:pPr>
        <w:spacing w:line="360" w:lineRule="auto"/>
        <w:ind w:hanging="2"/>
        <w:jc w:val="both"/>
        <w:rPr>
          <w:rFonts w:ascii="Times New Roman" w:eastAsia="Times New Roman" w:hAnsi="Times New Roman" w:cs="Times New Roman"/>
          <w:b/>
          <w:bCs/>
          <w:sz w:val="22"/>
          <w:szCs w:val="22"/>
          <w:lang w:val="id-ID"/>
        </w:rPr>
      </w:pPr>
      <w:r w:rsidRPr="001A15FF">
        <w:rPr>
          <w:rFonts w:ascii="Times New Roman" w:eastAsia="Times New Roman" w:hAnsi="Times New Roman" w:cs="Times New Roman"/>
          <w:b/>
          <w:bCs/>
          <w:sz w:val="22"/>
          <w:szCs w:val="22"/>
          <w:lang w:val="id-ID"/>
        </w:rPr>
        <w:t xml:space="preserve">METODE </w:t>
      </w:r>
    </w:p>
    <w:p w:rsidR="00654375" w:rsidRPr="001A15FF" w:rsidRDefault="00654375" w:rsidP="00654375">
      <w:pPr>
        <w:shd w:val="clear" w:color="auto" w:fill="FFFFFF"/>
        <w:spacing w:line="360" w:lineRule="auto"/>
        <w:ind w:firstLine="426"/>
        <w:jc w:val="both"/>
        <w:textAlignment w:val="baseline"/>
        <w:rPr>
          <w:rFonts w:ascii="Times New Roman" w:hAnsi="Times New Roman" w:cs="Times New Roman"/>
          <w:sz w:val="22"/>
          <w:szCs w:val="22"/>
        </w:rPr>
      </w:pPr>
      <w:r w:rsidRPr="001A15FF">
        <w:rPr>
          <w:rFonts w:ascii="Times New Roman" w:hAnsi="Times New Roman" w:cs="Times New Roman"/>
          <w:sz w:val="22"/>
          <w:szCs w:val="22"/>
        </w:rPr>
        <w:t>Sumber data dalam penelitian ini berasal dari subjek penelitian, baik berupa individu maupun objek tertentu yang relevan dengan fokus kajian. Data yang diperoleh selanjutnya dikumpulkan sebagai dasar dalam membangun kerangka teoretis, kemudian dianalisis menggunakan metode yang sesuai guna menghasilkan temuan yang objektif. Melalui proses tersebut, terbentuk hubungan yang sistematis antara peneliti dengan subjek penelitian dalam rangka memperoleh pemahaman yang mendalam terhadap permasalahan yang dikaji.</w:t>
      </w:r>
    </w:p>
    <w:p w:rsidR="00654375" w:rsidRPr="00654375" w:rsidRDefault="00654375" w:rsidP="00654375">
      <w:pPr>
        <w:shd w:val="clear" w:color="auto" w:fill="FFFFFF"/>
        <w:spacing w:line="360" w:lineRule="auto"/>
        <w:jc w:val="both"/>
        <w:textAlignment w:val="baseline"/>
        <w:rPr>
          <w:rFonts w:ascii="Times New Roman" w:eastAsia="Times New Roman" w:hAnsi="Times New Roman" w:cs="Times New Roman"/>
          <w:b/>
          <w:bCs/>
          <w:color w:val="000000"/>
          <w:sz w:val="22"/>
          <w:szCs w:val="22"/>
        </w:rPr>
      </w:pPr>
      <w:r w:rsidRPr="00654375">
        <w:rPr>
          <w:rFonts w:ascii="Times New Roman" w:hAnsi="Times New Roman" w:cs="Times New Roman"/>
          <w:b/>
          <w:bCs/>
          <w:sz w:val="22"/>
          <w:szCs w:val="22"/>
        </w:rPr>
        <w:t xml:space="preserve">Pendekatan Penelitian </w:t>
      </w:r>
    </w:p>
    <w:p w:rsidR="00654375" w:rsidRPr="001A15FF" w:rsidRDefault="00654375" w:rsidP="00654375">
      <w:pPr>
        <w:pStyle w:val="ListParagraph"/>
        <w:shd w:val="clear" w:color="auto" w:fill="FFFFFF"/>
        <w:spacing w:line="360" w:lineRule="auto"/>
        <w:ind w:left="0" w:firstLine="567"/>
        <w:jc w:val="both"/>
        <w:textAlignment w:val="baseline"/>
        <w:rPr>
          <w:rFonts w:ascii="Times New Roman" w:hAnsi="Times New Roman" w:cs="Times New Roman"/>
          <w:sz w:val="22"/>
          <w:szCs w:val="22"/>
        </w:rPr>
      </w:pPr>
      <w:r w:rsidRPr="001A15FF">
        <w:rPr>
          <w:rFonts w:ascii="Times New Roman" w:hAnsi="Times New Roman" w:cs="Times New Roman"/>
          <w:sz w:val="22"/>
          <w:szCs w:val="22"/>
        </w:rPr>
        <w:t>Pendekatan dalam penelitian dapat dipahami sebagai cara pandang peneliti dalam memperlakukan objek kajian, yang bersifat subjektif karena didasarkan pada asumsi-asumsi dasar yang digunakan dalam memahami objek formal penelitian. Sementara itu, metode merupakan cara atau langkah operasional yang digunakan dalam pelaksanaan penelitian, yang cenderung bersifat objektif karena ditentukan oleh karakteristik ontologis dari sumber data yang digunakan. Apabila sumber data penelitian berupa objek non-manusia, seperti literatur atau dokumen yang memuat konsep-konsep tertentu, maka metode yang digunakan bersifat tekstual dan interpretatif. Dalam konteks ini, analisis dilakukan melalui pendekatan hermeneutis, misalnya dengan menggunakan metode analisis isi (content analysis), yang umumnya dikenal sebagai pendekatan kepustakaan. Pada dasarnya, hampir seluruh jenis penelitian memerlukan studi pustaka sebagai bagian penting dalam proses pengumpulan data dan penyusunan kerangka berpikir. Meskipun sering dibedakan antara penelitian kepustakaan (</w:t>
      </w:r>
      <w:r w:rsidRPr="001A15FF">
        <w:rPr>
          <w:rFonts w:ascii="Times New Roman" w:hAnsi="Times New Roman" w:cs="Times New Roman"/>
          <w:i/>
          <w:iCs/>
          <w:sz w:val="22"/>
          <w:szCs w:val="22"/>
        </w:rPr>
        <w:t>library research</w:t>
      </w:r>
      <w:r w:rsidRPr="001A15FF">
        <w:rPr>
          <w:rFonts w:ascii="Times New Roman" w:hAnsi="Times New Roman" w:cs="Times New Roman"/>
          <w:sz w:val="22"/>
          <w:szCs w:val="22"/>
        </w:rPr>
        <w:t>) dan penelitian lapangan (</w:t>
      </w:r>
      <w:r w:rsidRPr="001A15FF">
        <w:rPr>
          <w:rFonts w:ascii="Times New Roman" w:hAnsi="Times New Roman" w:cs="Times New Roman"/>
          <w:i/>
          <w:iCs/>
          <w:sz w:val="22"/>
          <w:szCs w:val="22"/>
        </w:rPr>
        <w:t>field research</w:t>
      </w:r>
      <w:r w:rsidRPr="001A15FF">
        <w:rPr>
          <w:rFonts w:ascii="Times New Roman" w:hAnsi="Times New Roman" w:cs="Times New Roman"/>
          <w:sz w:val="22"/>
          <w:szCs w:val="22"/>
        </w:rPr>
        <w:t>), keduanya tetap memerlukan penelusuran literatur. Perbedaan utama terletak pada tujuan, fungsi, dan kedudukan studi pustaka dalam masing-masing jenis penelitian tersebut. Dalam penelitian lapangan, studi pustaka umumnya digunakan sebagai langkah awal untuk menyusun desain penelitian atau proposal, serta untuk memperoleh informasi terkait penelitian terdahulu, memperkuat landasan teoretis, dan memperjelas metode yang akan digunakan. Sementara itu, dalam penelitian kepustakaan, studi pustaka tidak hanya berfungsi sebagai pendukung, tetapi juga menjadi sumber utama dalam memperoleh data penelitian. Dengan kata lain, penelitian kepustakaan berfokus pada pengolahan data yang bersumber dari bahan-bahan tertulis tanpa melibatkan pengumpulan data secara langsung di lapangan. Dalam konteks penelitian dengan objek kajian berupa non-manusia, seperti dokumen atau literatur, pendekatan yang digunakan dilakukan melalui pengumpulan data secara kepustakaan. Data tersebut kemudian dianalisis dengan menggunakan pendekatan hukum yang relevan dengan permasalahan yang diteliti, sehingga mampu menghasilkan analisis yang sistematis dan sesuai dengan kerangka penelitian yang telah ditetapkan.</w:t>
      </w:r>
    </w:p>
    <w:p w:rsidR="00654375" w:rsidRPr="001A15FF" w:rsidRDefault="00654375" w:rsidP="00654375">
      <w:pPr>
        <w:pStyle w:val="ListParagraph"/>
        <w:shd w:val="clear" w:color="auto" w:fill="FFFFFF"/>
        <w:spacing w:line="360" w:lineRule="auto"/>
        <w:ind w:left="0" w:firstLine="567"/>
        <w:jc w:val="both"/>
        <w:textAlignment w:val="baseline"/>
        <w:rPr>
          <w:rFonts w:ascii="Times New Roman" w:hAnsi="Times New Roman" w:cs="Times New Roman"/>
          <w:sz w:val="22"/>
          <w:szCs w:val="22"/>
        </w:rPr>
      </w:pPr>
      <w:r w:rsidRPr="001A15FF">
        <w:rPr>
          <w:rFonts w:ascii="Times New Roman" w:hAnsi="Times New Roman" w:cs="Times New Roman"/>
          <w:sz w:val="22"/>
          <w:szCs w:val="22"/>
        </w:rPr>
        <w:t>Pendekatan yang digunakan dalam penelitian ini adalah :</w:t>
      </w:r>
    </w:p>
    <w:p w:rsidR="00654375" w:rsidRPr="001A15FF" w:rsidRDefault="00654375" w:rsidP="00654375">
      <w:pPr>
        <w:pStyle w:val="ListParagraph"/>
        <w:numPr>
          <w:ilvl w:val="0"/>
          <w:numId w:val="19"/>
        </w:numPr>
        <w:shd w:val="clear" w:color="auto" w:fill="FFFFFF"/>
        <w:spacing w:line="360" w:lineRule="auto"/>
        <w:ind w:left="284" w:hanging="286"/>
        <w:jc w:val="both"/>
        <w:textAlignment w:val="baseline"/>
        <w:rPr>
          <w:rFonts w:ascii="Times New Roman" w:eastAsia="Times New Roman" w:hAnsi="Times New Roman" w:cs="Times New Roman"/>
          <w:color w:val="000000"/>
          <w:sz w:val="22"/>
          <w:szCs w:val="22"/>
        </w:rPr>
      </w:pPr>
      <w:r w:rsidRPr="001A15FF">
        <w:rPr>
          <w:rFonts w:ascii="Times New Roman" w:eastAsia="Times New Roman" w:hAnsi="Times New Roman" w:cs="Times New Roman"/>
          <w:color w:val="000000"/>
          <w:sz w:val="22"/>
          <w:szCs w:val="22"/>
        </w:rPr>
        <w:t>Pendekatan Perundang-Undangan.</w:t>
      </w:r>
    </w:p>
    <w:p w:rsidR="00654375" w:rsidRPr="001A15FF" w:rsidRDefault="00654375" w:rsidP="00654375">
      <w:pPr>
        <w:pStyle w:val="ListParagraph"/>
        <w:shd w:val="clear" w:color="auto" w:fill="FFFFFF"/>
        <w:spacing w:line="360" w:lineRule="auto"/>
        <w:ind w:left="0" w:firstLine="567"/>
        <w:jc w:val="both"/>
        <w:textAlignment w:val="baseline"/>
        <w:rPr>
          <w:rFonts w:ascii="Times New Roman" w:eastAsia="Times New Roman" w:hAnsi="Times New Roman" w:cs="Times New Roman"/>
          <w:color w:val="000000"/>
          <w:sz w:val="22"/>
          <w:szCs w:val="22"/>
        </w:rPr>
      </w:pPr>
      <w:r w:rsidRPr="001A15FF">
        <w:rPr>
          <w:rFonts w:ascii="Times New Roman" w:eastAsia="Times New Roman" w:hAnsi="Times New Roman" w:cs="Times New Roman"/>
          <w:color w:val="000000"/>
          <w:sz w:val="22"/>
          <w:szCs w:val="22"/>
        </w:rPr>
        <w:t xml:space="preserve">Salah satu pendekatan yang digunakan dalam penelitian hukum adalah pendekatan perundang-undangan. Pendekatan ini dilakukan dengan menelaah berbagai peraturan perundang-undangan yang berkaitan dengan isu hukum yang sedang dikaji. Melalui pendekatan ini, peneliti berupaya menelusuri </w:t>
      </w:r>
      <w:r w:rsidRPr="001A15FF">
        <w:rPr>
          <w:rFonts w:ascii="Times New Roman" w:eastAsia="Times New Roman" w:hAnsi="Times New Roman" w:cs="Times New Roman"/>
          <w:i/>
          <w:iCs/>
          <w:color w:val="000000"/>
          <w:sz w:val="22"/>
          <w:szCs w:val="22"/>
        </w:rPr>
        <w:t>ratio legis</w:t>
      </w:r>
      <w:r w:rsidRPr="001A15FF">
        <w:rPr>
          <w:rFonts w:ascii="Times New Roman" w:eastAsia="Times New Roman" w:hAnsi="Times New Roman" w:cs="Times New Roman"/>
          <w:color w:val="000000"/>
          <w:sz w:val="22"/>
          <w:szCs w:val="22"/>
        </w:rPr>
        <w:t xml:space="preserve"> serta dasar ontologis dari pembentukan suatu undang-undang, sehingga dapat memahami nilai-nilai filosofis yang melatarbelakanginya. Dengan pemahaman tersebut, peneliti dapat menilai apakah terdapat kesesuaian atau justru pertentangan antara ketentuan dalam peraturan perundang-undangan dengan permasalahan hukum yang dihadapi. Selain itu, pendekatan ini juga memungkinkan peneliti untuk mengidentifikasi sejauh mana peraturan perundang-undangan yang berlaku telah mampu mengakomodasi kebutuhan hukum dalam konteks yang sedang diteliti, atau sebaliknya masih terdapat kekosongan maupun kelemahan dalam pengaturannya. Menurut Peter Machmud, pendekatan undang-undang dilakukan dengan menelaah semua undang-undang dan regulasi yang bersangkutan dengan isu hukum yang ditangani.</w:t>
      </w:r>
    </w:p>
    <w:p w:rsidR="00654375" w:rsidRPr="001A15FF" w:rsidRDefault="00654375" w:rsidP="00654375">
      <w:pPr>
        <w:pStyle w:val="ListParagraph"/>
        <w:numPr>
          <w:ilvl w:val="0"/>
          <w:numId w:val="19"/>
        </w:numPr>
        <w:shd w:val="clear" w:color="auto" w:fill="FFFFFF"/>
        <w:spacing w:line="360" w:lineRule="auto"/>
        <w:ind w:left="284" w:hanging="286"/>
        <w:jc w:val="both"/>
        <w:textAlignment w:val="baseline"/>
        <w:rPr>
          <w:rFonts w:ascii="Times New Roman" w:eastAsia="Times New Roman" w:hAnsi="Times New Roman" w:cs="Times New Roman"/>
          <w:color w:val="000000"/>
          <w:sz w:val="22"/>
          <w:szCs w:val="22"/>
        </w:rPr>
      </w:pPr>
      <w:r w:rsidRPr="001A15FF">
        <w:rPr>
          <w:rFonts w:ascii="Times New Roman" w:eastAsia="Times New Roman" w:hAnsi="Times New Roman" w:cs="Times New Roman"/>
          <w:color w:val="000000"/>
          <w:sz w:val="22"/>
          <w:szCs w:val="22"/>
        </w:rPr>
        <w:t>Pendekatan Konseptual (</w:t>
      </w:r>
      <w:r w:rsidRPr="001A15FF">
        <w:rPr>
          <w:rFonts w:ascii="Times New Roman" w:eastAsia="Times New Roman" w:hAnsi="Times New Roman" w:cs="Times New Roman"/>
          <w:i/>
          <w:iCs/>
          <w:color w:val="000000"/>
          <w:sz w:val="22"/>
          <w:szCs w:val="22"/>
        </w:rPr>
        <w:t>Conceptual Approach</w:t>
      </w:r>
      <w:r w:rsidRPr="001A15FF">
        <w:rPr>
          <w:rFonts w:ascii="Times New Roman" w:eastAsia="Times New Roman" w:hAnsi="Times New Roman" w:cs="Times New Roman"/>
          <w:color w:val="000000"/>
          <w:sz w:val="22"/>
          <w:szCs w:val="22"/>
        </w:rPr>
        <w:t>)</w:t>
      </w:r>
    </w:p>
    <w:p w:rsidR="00654375" w:rsidRPr="001A15FF" w:rsidRDefault="00654375" w:rsidP="00654375">
      <w:pPr>
        <w:pStyle w:val="ListParagraph"/>
        <w:shd w:val="clear" w:color="auto" w:fill="FFFFFF"/>
        <w:spacing w:line="360" w:lineRule="auto"/>
        <w:ind w:left="0" w:firstLine="567"/>
        <w:jc w:val="both"/>
        <w:textAlignment w:val="baseline"/>
        <w:rPr>
          <w:rFonts w:ascii="Times New Roman" w:eastAsia="Times New Roman" w:hAnsi="Times New Roman" w:cs="Times New Roman"/>
          <w:color w:val="000000"/>
          <w:sz w:val="22"/>
          <w:szCs w:val="22"/>
        </w:rPr>
      </w:pPr>
      <w:r w:rsidRPr="001A15FF">
        <w:rPr>
          <w:rFonts w:ascii="Times New Roman" w:eastAsia="Times New Roman" w:hAnsi="Times New Roman" w:cs="Times New Roman"/>
          <w:color w:val="000000"/>
          <w:sz w:val="22"/>
          <w:szCs w:val="22"/>
        </w:rPr>
        <w:t>Pendekatan konseptual dalam penelitian hukum berangkat dari doktrin serta pandangan yang berkembang dalam ilmu hukum. Melalui penelaahan terhadap berbagai pemikiran tersebut, peneliti dapat mengidentifikasi dan merumuskan konsep, pengertian, serta asas-asas hukum yang relevan dengan permasalahan yang dikaji. Pemahaman yang diperoleh dari pendekatan ini selanjutnya menjadi dasar dalam menyusun argumentasi hukum yang sistematis. Dengan demikian, peneliti memiliki landasan teoritis yang kuat untuk menganalisis dan memberikan solusi terhadap isu hukum yang sedang diteliti.</w:t>
      </w:r>
    </w:p>
    <w:p w:rsidR="00654375" w:rsidRPr="001A15FF" w:rsidRDefault="00654375" w:rsidP="00654375">
      <w:pPr>
        <w:pStyle w:val="ListParagraph"/>
        <w:shd w:val="clear" w:color="auto" w:fill="FFFFFF"/>
        <w:spacing w:line="360" w:lineRule="auto"/>
        <w:ind w:left="0" w:firstLine="567"/>
        <w:jc w:val="both"/>
        <w:textAlignment w:val="baseline"/>
        <w:rPr>
          <w:rFonts w:ascii="Times New Roman" w:eastAsia="Times New Roman" w:hAnsi="Times New Roman" w:cs="Times New Roman"/>
          <w:color w:val="000000"/>
          <w:sz w:val="22"/>
          <w:szCs w:val="22"/>
        </w:rPr>
      </w:pPr>
      <w:r w:rsidRPr="001A15FF">
        <w:rPr>
          <w:rFonts w:ascii="Times New Roman" w:eastAsia="Times New Roman" w:hAnsi="Times New Roman" w:cs="Times New Roman"/>
          <w:color w:val="000000"/>
          <w:sz w:val="22"/>
          <w:szCs w:val="22"/>
        </w:rPr>
        <w:t>Menurut Peter Mahmud Marzuki, pendekatan konseptual digunakan ketika peneliti tidak semata-mata bertumpu pada ketentuan peraturan perundang-undangan yang berlaku. Pendekatan ini dilakukan dengan mengkaji berbagai doktrin dan pandangan yang berkembang dalam ilmu hukum yang relevan dengan isu yang diteliti, sehingga dapat memberikan pemahaman yang lebih mendalam dalam menganalisis permasalahan hukum tersebut.</w:t>
      </w:r>
    </w:p>
    <w:p w:rsidR="00654375" w:rsidRPr="00654375" w:rsidRDefault="00654375" w:rsidP="00654375">
      <w:pPr>
        <w:pStyle w:val="ListParagraph"/>
        <w:shd w:val="clear" w:color="auto" w:fill="FFFFFF"/>
        <w:tabs>
          <w:tab w:val="left" w:pos="3264"/>
        </w:tabs>
        <w:spacing w:line="360" w:lineRule="auto"/>
        <w:ind w:left="0" w:hanging="2"/>
        <w:jc w:val="both"/>
        <w:textAlignment w:val="baseline"/>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sidRPr="00654375">
        <w:rPr>
          <w:rFonts w:ascii="Times New Roman" w:hAnsi="Times New Roman" w:cs="Times New Roman"/>
          <w:b/>
          <w:sz w:val="22"/>
          <w:szCs w:val="22"/>
        </w:rPr>
        <w:t xml:space="preserve">Jenis penelitian </w:t>
      </w:r>
    </w:p>
    <w:p w:rsidR="00654375" w:rsidRPr="001A15FF" w:rsidRDefault="00654375" w:rsidP="00654375">
      <w:pPr>
        <w:pStyle w:val="ListParagraph"/>
        <w:tabs>
          <w:tab w:val="left" w:pos="-2694"/>
        </w:tabs>
        <w:spacing w:line="360" w:lineRule="auto"/>
        <w:ind w:left="0" w:hanging="2"/>
        <w:jc w:val="both"/>
        <w:rPr>
          <w:rFonts w:ascii="Times New Roman" w:hAnsi="Times New Roman" w:cs="Times New Roman"/>
          <w:bCs/>
          <w:sz w:val="22"/>
          <w:szCs w:val="22"/>
        </w:rPr>
      </w:pPr>
      <w:r w:rsidRPr="001A15FF">
        <w:rPr>
          <w:rFonts w:ascii="Times New Roman" w:hAnsi="Times New Roman" w:cs="Times New Roman"/>
          <w:bCs/>
          <w:sz w:val="22"/>
          <w:szCs w:val="22"/>
        </w:rPr>
        <w:tab/>
      </w:r>
      <w:r w:rsidRPr="001A15FF">
        <w:rPr>
          <w:rFonts w:ascii="Times New Roman" w:hAnsi="Times New Roman" w:cs="Times New Roman"/>
          <w:bCs/>
          <w:sz w:val="22"/>
          <w:szCs w:val="22"/>
        </w:rPr>
        <w:tab/>
        <w:t>Penelitian hukum normatif berfokus pada hukum sebagai suatu sistem norma yang digunakan untuk memberikan justifikasi preskriptif terhadap suatu peristiwa hukum. Dalam penelitian ini, sistem norma menjadi pusat kajian utama, karena hukum dipahami sebagai seperangkat kaidah atau aturan yang mengatur perilaku dalam masyarakat.</w:t>
      </w:r>
      <w:r w:rsidRPr="001A15FF">
        <w:rPr>
          <w:rFonts w:ascii="Times New Roman" w:hAnsi="Times New Roman" w:cs="Times New Roman"/>
          <w:color w:val="000000"/>
          <w:sz w:val="22"/>
          <w:szCs w:val="22"/>
          <w:shd w:val="clear" w:color="auto" w:fill="FFFFFF"/>
        </w:rPr>
        <w:t xml:space="preserve"> </w:t>
      </w:r>
      <w:r w:rsidRPr="001A15FF">
        <w:rPr>
          <w:rFonts w:ascii="Times New Roman" w:hAnsi="Times New Roman" w:cs="Times New Roman"/>
          <w:color w:val="000000"/>
          <w:sz w:val="22"/>
          <w:szCs w:val="22"/>
          <w:shd w:val="clear" w:color="auto" w:fill="FFFFFF"/>
        </w:rPr>
        <w:t xml:space="preserve">Menurut Soerjono Soekanto, penelitian merupakan suatu kegiatan yang dilakukan untuk menganalisis serta menyusun suatu konstruksi pemikiran secara metodologis, sistematis, dan konsisten. Melalui proses tersebut, penelitian berfungsi sebagai sarana untuk memperkuat, mengembangkan, dan memperkaya ilmu pengetahuan. </w:t>
      </w:r>
      <w:r w:rsidRPr="001A15FF">
        <w:rPr>
          <w:rFonts w:ascii="Times New Roman" w:hAnsi="Times New Roman" w:cs="Times New Roman"/>
          <w:bCs/>
          <w:sz w:val="22"/>
          <w:szCs w:val="22"/>
        </w:rPr>
        <w:t>Penelitian ini menggunakan jenis penelitian hukum normatif, yaitu penelitian yang berfokus pada data kepustakaan melalui kajian terhadap berbagai dokumen. Sumber data yang digunakan berupa data sekunder, seperti peraturan perundang-undangan, putusan pengadilan, teori hukum, serta pendapat para ahli. Menurut Peter Mahmud Marzuki, penelitian hukum normatif merupakan suatu proses untuk menemukan aturan hukum, prinsip-prinsip hukum, serta doktrin hukum guna menjawab permasalahan hukum yang dihadapi. Dalam penelitian ini, analisis yang digunakan adalah analisis kualitatif, yaitu dengan menguraikan data dalam bentuk deskriptif melalui kata-kata atau pernyataan, bukan dalam bentuk angka. Selain itu, Sutandyo Wigyosubroto menyebut penelitian hukum normatif sebagai penelitian doktrinal, yaitu penelitian terhadap hukum yang dikembangkan berdasarkan doktrin atau pandangan yang dianut oleh para ahli hukum. Dengan demikian, penelitian hukum normatif menempatkan hukum sebagai suatu sistem norma yang dikaji melalui pendekatan konseptual dan peraturan perundang-undangan untuk menghasilkan analisis yang sistematis dan komprehensif. Penelitian hukum doctrinal tersebut oleh beliau dibagi menjadi 3 bagian, yaitu :</w:t>
      </w:r>
    </w:p>
    <w:p w:rsidR="00654375" w:rsidRPr="001A15FF" w:rsidRDefault="00654375" w:rsidP="00654375">
      <w:pPr>
        <w:pStyle w:val="ListParagraph"/>
        <w:numPr>
          <w:ilvl w:val="0"/>
          <w:numId w:val="45"/>
        </w:numPr>
        <w:tabs>
          <w:tab w:val="left" w:pos="-2694"/>
        </w:tabs>
        <w:spacing w:line="360" w:lineRule="auto"/>
        <w:ind w:left="567" w:hanging="283"/>
        <w:jc w:val="both"/>
        <w:rPr>
          <w:rFonts w:ascii="Times New Roman" w:hAnsi="Times New Roman" w:cs="Times New Roman"/>
          <w:bCs/>
          <w:sz w:val="22"/>
          <w:szCs w:val="22"/>
        </w:rPr>
      </w:pPr>
      <w:r w:rsidRPr="001A15FF">
        <w:rPr>
          <w:rFonts w:ascii="Times New Roman" w:hAnsi="Times New Roman" w:cs="Times New Roman"/>
          <w:bCs/>
          <w:sz w:val="22"/>
          <w:szCs w:val="22"/>
        </w:rPr>
        <w:t xml:space="preserve">Penelitian </w:t>
      </w:r>
      <w:r w:rsidRPr="001A15FF">
        <w:rPr>
          <w:rFonts w:ascii="Times New Roman" w:hAnsi="Times New Roman" w:cs="Times New Roman"/>
          <w:bCs/>
          <w:i/>
          <w:iCs/>
          <w:sz w:val="22"/>
          <w:szCs w:val="22"/>
        </w:rPr>
        <w:t>doctrinal</w:t>
      </w:r>
      <w:r w:rsidRPr="001A15FF">
        <w:rPr>
          <w:rFonts w:ascii="Times New Roman" w:hAnsi="Times New Roman" w:cs="Times New Roman"/>
          <w:bCs/>
          <w:sz w:val="22"/>
          <w:szCs w:val="22"/>
        </w:rPr>
        <w:t xml:space="preserve"> yang mengkaji hukum yang dikonsepkan sebagai asas hukum alam dalam sistem moral menurut doktrin hukum alam.</w:t>
      </w:r>
    </w:p>
    <w:p w:rsidR="00654375" w:rsidRPr="001A15FF" w:rsidRDefault="00654375" w:rsidP="00654375">
      <w:pPr>
        <w:pStyle w:val="ListParagraph"/>
        <w:numPr>
          <w:ilvl w:val="0"/>
          <w:numId w:val="45"/>
        </w:numPr>
        <w:tabs>
          <w:tab w:val="left" w:pos="-2694"/>
        </w:tabs>
        <w:spacing w:line="360" w:lineRule="auto"/>
        <w:ind w:left="567" w:hanging="283"/>
        <w:jc w:val="both"/>
        <w:rPr>
          <w:rFonts w:ascii="Times New Roman" w:hAnsi="Times New Roman" w:cs="Times New Roman"/>
          <w:bCs/>
          <w:sz w:val="22"/>
          <w:szCs w:val="22"/>
        </w:rPr>
      </w:pPr>
      <w:r w:rsidRPr="001A15FF">
        <w:rPr>
          <w:rFonts w:ascii="Times New Roman" w:hAnsi="Times New Roman" w:cs="Times New Roman"/>
          <w:bCs/>
          <w:sz w:val="22"/>
          <w:szCs w:val="22"/>
        </w:rPr>
        <w:t xml:space="preserve">Penelitian </w:t>
      </w:r>
      <w:r w:rsidRPr="001A15FF">
        <w:rPr>
          <w:rFonts w:ascii="Times New Roman" w:hAnsi="Times New Roman" w:cs="Times New Roman"/>
          <w:bCs/>
          <w:i/>
          <w:iCs/>
          <w:sz w:val="22"/>
          <w:szCs w:val="22"/>
        </w:rPr>
        <w:t>doctrinal</w:t>
      </w:r>
      <w:r w:rsidRPr="001A15FF">
        <w:rPr>
          <w:rFonts w:ascii="Times New Roman" w:hAnsi="Times New Roman" w:cs="Times New Roman"/>
          <w:bCs/>
          <w:sz w:val="22"/>
          <w:szCs w:val="22"/>
        </w:rPr>
        <w:t xml:space="preserve"> yang mengkaji hukum yang dikonsepkan sebagai kaidah perundang-undangan menurut doktrin positifme.</w:t>
      </w:r>
    </w:p>
    <w:p w:rsidR="00654375" w:rsidRPr="001A15FF" w:rsidRDefault="00654375" w:rsidP="00654375">
      <w:pPr>
        <w:pStyle w:val="ListParagraph"/>
        <w:numPr>
          <w:ilvl w:val="0"/>
          <w:numId w:val="45"/>
        </w:numPr>
        <w:tabs>
          <w:tab w:val="left" w:pos="-2694"/>
        </w:tabs>
        <w:spacing w:line="360" w:lineRule="auto"/>
        <w:ind w:left="567" w:hanging="283"/>
        <w:jc w:val="both"/>
        <w:rPr>
          <w:rFonts w:ascii="Times New Roman" w:hAnsi="Times New Roman" w:cs="Times New Roman"/>
          <w:bCs/>
          <w:sz w:val="22"/>
          <w:szCs w:val="22"/>
        </w:rPr>
      </w:pPr>
      <w:r w:rsidRPr="001A15FF">
        <w:rPr>
          <w:rFonts w:ascii="Times New Roman" w:hAnsi="Times New Roman" w:cs="Times New Roman"/>
          <w:bCs/>
          <w:sz w:val="22"/>
          <w:szCs w:val="22"/>
        </w:rPr>
        <w:t xml:space="preserve">Penelitian </w:t>
      </w:r>
      <w:r w:rsidRPr="001A15FF">
        <w:rPr>
          <w:rFonts w:ascii="Times New Roman" w:hAnsi="Times New Roman" w:cs="Times New Roman"/>
          <w:bCs/>
          <w:i/>
          <w:iCs/>
          <w:sz w:val="22"/>
          <w:szCs w:val="22"/>
        </w:rPr>
        <w:t>doctrinal</w:t>
      </w:r>
      <w:r w:rsidRPr="001A15FF">
        <w:rPr>
          <w:rFonts w:ascii="Times New Roman" w:hAnsi="Times New Roman" w:cs="Times New Roman"/>
          <w:bCs/>
          <w:sz w:val="22"/>
          <w:szCs w:val="22"/>
        </w:rPr>
        <w:t xml:space="preserve"> yang mengkaji hukum yang dikonsepkan sebagai Keputusan hakim in concreto menurut doktrin realisme.</w:t>
      </w:r>
    </w:p>
    <w:p w:rsidR="00654375" w:rsidRPr="00654375" w:rsidRDefault="00654375" w:rsidP="00654375">
      <w:pPr>
        <w:tabs>
          <w:tab w:val="left" w:pos="-2694"/>
        </w:tabs>
        <w:spacing w:line="360" w:lineRule="auto"/>
        <w:jc w:val="both"/>
        <w:rPr>
          <w:rFonts w:ascii="Times New Roman" w:hAnsi="Times New Roman" w:cs="Times New Roman"/>
          <w:b/>
          <w:sz w:val="22"/>
          <w:szCs w:val="22"/>
        </w:rPr>
      </w:pPr>
      <w:r w:rsidRPr="00654375">
        <w:rPr>
          <w:rFonts w:ascii="Times New Roman" w:hAnsi="Times New Roman" w:cs="Times New Roman"/>
          <w:b/>
          <w:sz w:val="22"/>
          <w:szCs w:val="22"/>
        </w:rPr>
        <w:t xml:space="preserve">Sumber data </w:t>
      </w:r>
    </w:p>
    <w:p w:rsidR="00654375" w:rsidRPr="001A15FF" w:rsidRDefault="00654375" w:rsidP="00654375">
      <w:pPr>
        <w:pStyle w:val="ListParagraph"/>
        <w:tabs>
          <w:tab w:val="left" w:pos="-2694"/>
        </w:tabs>
        <w:spacing w:line="360" w:lineRule="auto"/>
        <w:ind w:left="0" w:hanging="2"/>
        <w:jc w:val="both"/>
        <w:rPr>
          <w:rFonts w:ascii="Times New Roman" w:hAnsi="Times New Roman" w:cs="Times New Roman"/>
          <w:sz w:val="22"/>
          <w:szCs w:val="22"/>
        </w:rPr>
      </w:pPr>
      <w:r w:rsidRPr="001A15FF">
        <w:rPr>
          <w:rFonts w:ascii="Times New Roman" w:hAnsi="Times New Roman" w:cs="Times New Roman"/>
          <w:sz w:val="22"/>
          <w:szCs w:val="22"/>
        </w:rPr>
        <w:tab/>
        <w:t>Secara umum, sumber data dalam penelitian dibedakan menjadi dua, yaitu data primer dan data sekunder. Menurut Sugiyono, data primer merupakan data yang diperoleh secara langsung dari subjek penelitian, sedangkan data sekunder adalah data yang diperoleh secara tidak langsung melalui berbagai sumber yang telah tersedia. Dalam penelitian ini, jenis penelitian yang digunakan adalah penelitian kepustakaan, sehingga sumber data yang dimanfaatkan adalah data sekunder. Data tersebut diperoleh dari berbagai bahan hukum dan literatur yang relevan dengan objek penelitian, antara lain Undang-Undang Dasar 1945, Undang-Undang Nomor 23 Tahun 2006 tentang Administrasi Kependudukan, serta Undang-Undang Nomor 16 Tahun 2019 sebagai perubahan atas Undang-Undang Nomor 1 Tahun 1974 tentang Perkawinan. Selain itu, penelitian ini juga menggunakan berbagai sumber pendukung seperti buku, jurnal ilmiah, artikel hukum, kamus hukum, serta literatur lain yang memiliki keterkaitan dengan permasalahan yang dikaji. Dengan demikian, sumber data dalam penelitian ini mencakup berbagai referensi tertulis, seperti buku, tesis, jurnal, artikel, maupun sumber informasi lainnya yang relevan dengan substansi pembahasan dalam penelitian ini.</w:t>
      </w:r>
    </w:p>
    <w:p w:rsidR="00654375" w:rsidRPr="00654375" w:rsidRDefault="00654375" w:rsidP="00654375">
      <w:pPr>
        <w:tabs>
          <w:tab w:val="left" w:pos="-2694"/>
        </w:tabs>
        <w:spacing w:line="360" w:lineRule="auto"/>
        <w:jc w:val="both"/>
        <w:rPr>
          <w:rFonts w:ascii="Times New Roman" w:hAnsi="Times New Roman" w:cs="Times New Roman"/>
          <w:b/>
          <w:sz w:val="22"/>
          <w:szCs w:val="22"/>
        </w:rPr>
      </w:pPr>
      <w:r w:rsidRPr="00654375">
        <w:rPr>
          <w:rFonts w:ascii="Times New Roman" w:hAnsi="Times New Roman" w:cs="Times New Roman"/>
          <w:b/>
          <w:sz w:val="22"/>
          <w:szCs w:val="22"/>
        </w:rPr>
        <w:t>Teknik pengumpulan data</w:t>
      </w:r>
    </w:p>
    <w:p w:rsidR="00654375" w:rsidRPr="001A15FF" w:rsidRDefault="00654375" w:rsidP="00654375">
      <w:pPr>
        <w:pStyle w:val="ListParagraph"/>
        <w:tabs>
          <w:tab w:val="left" w:pos="-2694"/>
        </w:tabs>
        <w:spacing w:line="360" w:lineRule="auto"/>
        <w:ind w:left="0" w:firstLine="567"/>
        <w:jc w:val="both"/>
        <w:rPr>
          <w:rFonts w:ascii="Times New Roman" w:hAnsi="Times New Roman" w:cs="Times New Roman"/>
          <w:sz w:val="22"/>
          <w:szCs w:val="22"/>
        </w:rPr>
      </w:pPr>
      <w:r w:rsidRPr="001A15FF">
        <w:rPr>
          <w:rFonts w:ascii="Times New Roman" w:hAnsi="Times New Roman" w:cs="Times New Roman"/>
          <w:sz w:val="22"/>
          <w:szCs w:val="22"/>
        </w:rPr>
        <w:tab/>
        <w:t>Data dikumpulkan dengan metode survey book atau library research dengan langkah-langkah sebagai berikut:</w:t>
      </w:r>
    </w:p>
    <w:p w:rsidR="00654375" w:rsidRPr="001A15FF" w:rsidRDefault="00654375" w:rsidP="00654375">
      <w:pPr>
        <w:pStyle w:val="ListParagraph"/>
        <w:numPr>
          <w:ilvl w:val="0"/>
          <w:numId w:val="31"/>
        </w:numPr>
        <w:tabs>
          <w:tab w:val="left" w:pos="-2694"/>
        </w:tabs>
        <w:spacing w:line="360" w:lineRule="auto"/>
        <w:ind w:left="284" w:hanging="284"/>
        <w:jc w:val="both"/>
        <w:rPr>
          <w:rFonts w:ascii="Times New Roman" w:hAnsi="Times New Roman" w:cs="Times New Roman"/>
          <w:sz w:val="22"/>
          <w:szCs w:val="22"/>
        </w:rPr>
      </w:pPr>
      <w:r w:rsidRPr="001A15FF">
        <w:rPr>
          <w:rFonts w:ascii="Times New Roman" w:hAnsi="Times New Roman" w:cs="Times New Roman"/>
          <w:sz w:val="22"/>
          <w:szCs w:val="22"/>
        </w:rPr>
        <w:t>Bahan hukum primer</w:t>
      </w:r>
    </w:p>
    <w:p w:rsidR="00654375" w:rsidRPr="001A15FF" w:rsidRDefault="00654375" w:rsidP="00654375">
      <w:pPr>
        <w:pStyle w:val="ListParagraph"/>
        <w:tabs>
          <w:tab w:val="left" w:pos="-2694"/>
        </w:tabs>
        <w:spacing w:line="360" w:lineRule="auto"/>
        <w:ind w:left="0" w:firstLine="567"/>
        <w:jc w:val="both"/>
        <w:rPr>
          <w:rFonts w:ascii="Times New Roman" w:hAnsi="Times New Roman" w:cs="Times New Roman"/>
          <w:sz w:val="22"/>
          <w:szCs w:val="22"/>
        </w:rPr>
      </w:pPr>
      <w:r w:rsidRPr="001A15FF">
        <w:rPr>
          <w:rFonts w:ascii="Times New Roman" w:hAnsi="Times New Roman" w:cs="Times New Roman"/>
          <w:sz w:val="22"/>
          <w:szCs w:val="22"/>
        </w:rPr>
        <w:tab/>
        <w:t>Bahan hukum primer merupakan bahan hukum yang memiliki kekuatan mengikat, baik secara umum dalam bentuk peraturan perundang-undangan, maupun secara khusus bagi pihak-pihak yang berkepentingan seperti kontrak, konvensi, dokumen hukum, dan putusan hakim. Menurut Mukti Fajar dan Yulianto Achmad, bahan hukum primer bersifat autoritatif, artinya memiliki otoritas dan kedudukan yang pokok dalam suatu penelitian hukum.  Dalam penelitian ini, bahan hukum primer yang digunakan meliputi Undang-Undang Dasar Negara Republik Indonesia Tahun 1945 sebagai konstitusi tertinggi, Undang-Undang Republik Indonesia Nomor 1 Tahun 1974 tentang Perkawinan, serta Undang-Undang Nomor 23 Tahun 2006 tentang Administrasi Kependudukan. Ketiga sumber hukum tersebut menjadi landasan utama dalam menganalisis permasalahan yang dikaji dalam penelitian ini.</w:t>
      </w:r>
    </w:p>
    <w:p w:rsidR="00654375" w:rsidRPr="001A15FF" w:rsidRDefault="00654375" w:rsidP="00654375">
      <w:pPr>
        <w:pStyle w:val="ListParagraph"/>
        <w:tabs>
          <w:tab w:val="left" w:pos="-2694"/>
        </w:tabs>
        <w:spacing w:line="360" w:lineRule="auto"/>
        <w:ind w:left="0" w:hanging="2"/>
        <w:jc w:val="both"/>
        <w:rPr>
          <w:rFonts w:ascii="Times New Roman" w:hAnsi="Times New Roman" w:cs="Times New Roman"/>
          <w:sz w:val="22"/>
          <w:szCs w:val="22"/>
        </w:rPr>
      </w:pPr>
    </w:p>
    <w:p w:rsidR="00654375" w:rsidRPr="00654375" w:rsidRDefault="00654375" w:rsidP="00654375">
      <w:pPr>
        <w:tabs>
          <w:tab w:val="left" w:pos="-2694"/>
        </w:tabs>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2. </w:t>
      </w:r>
      <w:r w:rsidRPr="00654375">
        <w:rPr>
          <w:rFonts w:ascii="Times New Roman" w:hAnsi="Times New Roman" w:cs="Times New Roman"/>
          <w:sz w:val="22"/>
          <w:szCs w:val="22"/>
        </w:rPr>
        <w:t xml:space="preserve">Bahan hukum sekunder, </w:t>
      </w:r>
    </w:p>
    <w:p w:rsidR="00654375" w:rsidRPr="001A15FF" w:rsidRDefault="00654375" w:rsidP="00654375">
      <w:pPr>
        <w:pStyle w:val="ListParagraph"/>
        <w:tabs>
          <w:tab w:val="left" w:pos="-2694"/>
        </w:tabs>
        <w:spacing w:line="360" w:lineRule="auto"/>
        <w:ind w:left="0" w:firstLine="567"/>
        <w:jc w:val="both"/>
        <w:rPr>
          <w:rFonts w:ascii="Times New Roman" w:hAnsi="Times New Roman" w:cs="Times New Roman"/>
          <w:sz w:val="22"/>
          <w:szCs w:val="22"/>
        </w:rPr>
      </w:pPr>
      <w:r w:rsidRPr="001A15FF">
        <w:rPr>
          <w:rFonts w:ascii="Times New Roman" w:hAnsi="Times New Roman" w:cs="Times New Roman"/>
          <w:sz w:val="22"/>
          <w:szCs w:val="22"/>
        </w:rPr>
        <w:tab/>
        <w:t xml:space="preserve">Bahan hukum sekunder merupakan bahan hukum yang berfungsi memberikan penjelasan dan memperkaya pemahaman terhadap bahan hukum primer. Bahan ini dapat berupa berbagai literatur, seperti buku ilmu hukum, jurnal hukum, laporan penelitian, serta sumber informasi dari media cetak maupun elektronik. </w:t>
      </w:r>
    </w:p>
    <w:p w:rsidR="00654375" w:rsidRPr="001A15FF" w:rsidRDefault="00654375" w:rsidP="00654375">
      <w:pPr>
        <w:pStyle w:val="ListParagraph"/>
        <w:tabs>
          <w:tab w:val="left" w:pos="-2694"/>
        </w:tabs>
        <w:spacing w:line="360" w:lineRule="auto"/>
        <w:ind w:left="0" w:firstLine="567"/>
        <w:jc w:val="both"/>
        <w:rPr>
          <w:rFonts w:ascii="Times New Roman" w:hAnsi="Times New Roman" w:cs="Times New Roman"/>
          <w:sz w:val="22"/>
          <w:szCs w:val="22"/>
        </w:rPr>
      </w:pPr>
      <w:r w:rsidRPr="001A15FF">
        <w:rPr>
          <w:rFonts w:ascii="Times New Roman" w:hAnsi="Times New Roman" w:cs="Times New Roman"/>
          <w:sz w:val="22"/>
          <w:szCs w:val="22"/>
        </w:rPr>
        <w:tab/>
        <w:t>Menurut Peter Mahmud Marzuki, bahan hukum sekunder adalah seluruh publikasi di bidang hukum yang tidak termasuk dokumen resmi. Publikasi tersebut meliputi buku, teks, kamus hukum, jurnal ilmiah, serta berbagai komentar atau analisis terhadap putusan pengadilan. Dalam penelitian ini, bahan hukum sekunder yang digunakan berupa buku teks dan berbagai literatur hukum yang relevan dengan isu yang dibahas. Sumber-sumber tersebut dipilih untuk mendukung analisis serta memperkuat landasan teoritis dalam penelitian ini.</w:t>
      </w:r>
    </w:p>
    <w:p w:rsidR="00654375" w:rsidRPr="00654375" w:rsidRDefault="00654375" w:rsidP="00654375">
      <w:pPr>
        <w:tabs>
          <w:tab w:val="left" w:pos="-2694"/>
        </w:tabs>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3. </w:t>
      </w:r>
      <w:r w:rsidRPr="00654375">
        <w:rPr>
          <w:rFonts w:ascii="Times New Roman" w:hAnsi="Times New Roman" w:cs="Times New Roman"/>
          <w:sz w:val="22"/>
          <w:szCs w:val="22"/>
        </w:rPr>
        <w:t>Bahan Hukum Tersier atau non-hukum</w:t>
      </w:r>
    </w:p>
    <w:p w:rsidR="00654375" w:rsidRPr="001A15FF" w:rsidRDefault="00654375" w:rsidP="00654375">
      <w:pPr>
        <w:pStyle w:val="ListParagraph"/>
        <w:tabs>
          <w:tab w:val="left" w:pos="-2694"/>
        </w:tabs>
        <w:spacing w:line="360" w:lineRule="auto"/>
        <w:ind w:left="0" w:firstLine="567"/>
        <w:jc w:val="both"/>
        <w:rPr>
          <w:rFonts w:ascii="Times New Roman" w:hAnsi="Times New Roman" w:cs="Times New Roman"/>
          <w:sz w:val="22"/>
          <w:szCs w:val="22"/>
        </w:rPr>
      </w:pPr>
      <w:r w:rsidRPr="001A15FF">
        <w:rPr>
          <w:rFonts w:ascii="Times New Roman" w:hAnsi="Times New Roman" w:cs="Times New Roman"/>
          <w:sz w:val="22"/>
          <w:szCs w:val="22"/>
        </w:rPr>
        <w:tab/>
        <w:t>Bahan hukum tersier merupakan bahan yang memberikan penjelasan atau petunjuk terhadap bahan hukum primer dan bahan hukum sekunder. Bahan ini umumnya berupa kamus hukum, ensiklopedia, kamus umum, serta berbagai sumber informasi lain seperti media daring yang relevan dengan topik penelitian. Menurut Peter Mahmud Marzuki, bahan ini dapat dikategorikan sebagai bahan non-hukum, yaitu berbagai literatur di luar bidang hukum yang tetap memiliki keterkaitan dengan isu yang diteliti. Sementara itu, para ahli seperti Ronny Hanitijo Soemitro, Soerjono Soekanto, dan Sri Mamudji mengelompokkan bahan tersebut sebagai bahan hukum tersier, yang meliputi kamus, ensiklopedia, bibliografi, indeks kumulatif, dan leksikon. Dengan demikian, bahan hukum tersier berfungsi sebagai pelengkap yang membantu peneliti dalam memahami istilah, konsep, serta konteks yang berkaitan dengan penelitian yang dilakukan.</w:t>
      </w:r>
    </w:p>
    <w:p w:rsidR="00654375" w:rsidRPr="00654375" w:rsidRDefault="00654375" w:rsidP="00654375">
      <w:pPr>
        <w:tabs>
          <w:tab w:val="left" w:pos="-2694"/>
        </w:tabs>
        <w:spacing w:line="360" w:lineRule="auto"/>
        <w:jc w:val="both"/>
        <w:rPr>
          <w:rFonts w:ascii="Times New Roman" w:hAnsi="Times New Roman" w:cs="Times New Roman"/>
          <w:bCs/>
          <w:sz w:val="22"/>
          <w:szCs w:val="22"/>
        </w:rPr>
      </w:pPr>
      <w:r w:rsidRPr="00654375">
        <w:rPr>
          <w:rFonts w:ascii="Times New Roman" w:hAnsi="Times New Roman" w:cs="Times New Roman"/>
          <w:b/>
          <w:sz w:val="22"/>
          <w:szCs w:val="22"/>
        </w:rPr>
        <w:t>Teknik analisis bahan hukum</w:t>
      </w:r>
    </w:p>
    <w:p w:rsidR="00654375" w:rsidRPr="001A15FF" w:rsidRDefault="00654375" w:rsidP="00654375">
      <w:pPr>
        <w:pStyle w:val="ListParagraph"/>
        <w:tabs>
          <w:tab w:val="left" w:pos="-2694"/>
        </w:tabs>
        <w:spacing w:line="360" w:lineRule="auto"/>
        <w:ind w:left="0" w:firstLine="567"/>
        <w:jc w:val="both"/>
        <w:rPr>
          <w:rFonts w:ascii="Times New Roman" w:hAnsi="Times New Roman" w:cs="Times New Roman"/>
          <w:sz w:val="22"/>
          <w:szCs w:val="22"/>
        </w:rPr>
      </w:pPr>
      <w:r w:rsidRPr="001A15FF">
        <w:rPr>
          <w:rFonts w:ascii="Times New Roman" w:hAnsi="Times New Roman" w:cs="Times New Roman"/>
          <w:sz w:val="22"/>
          <w:szCs w:val="22"/>
        </w:rPr>
        <w:tab/>
        <w:t>Data dalam penelitian ini dianalisis melalui proses penguraian, perumusan, serta perbandingan dengan ketentuan hukum yang berlaku secara umum. Metode yang digunakan adalah analisis kualitatif, yaitu dengan mendeskripsikan hasil penelitian dan data yang diperoleh tanpa menggunakan pendekatan angka, melainkan melalui penjelasan secara sistematis. Analisis dilakukan dengan menggunakan konsep-konsep dasar dalam ilmu hukum, seperti subjek hukum, objek hukum, hak dan kewajiban, peristiwa hukum, serta hubungan hukum. Selanjutnya, data tersebut dikaji berdasarkan kaidah-kaidah hukum yang relevan guna menjawab rumusan masalah yang telah ditetapkan sebelumnya.</w:t>
      </w:r>
      <w:r w:rsidRPr="001A15FF">
        <w:rPr>
          <w:rFonts w:ascii="Times New Roman" w:hAnsi="Times New Roman" w:cs="Times New Roman"/>
          <w:sz w:val="22"/>
          <w:szCs w:val="22"/>
        </w:rPr>
        <w:t xml:space="preserve"> </w:t>
      </w:r>
      <w:r w:rsidRPr="001A15FF">
        <w:rPr>
          <w:rFonts w:ascii="Times New Roman" w:hAnsi="Times New Roman" w:cs="Times New Roman"/>
          <w:sz w:val="22"/>
          <w:szCs w:val="22"/>
        </w:rPr>
        <w:t>Dalam menganalisis data, penelitian ini menggunakan metode deskriptif analitis untuk menarik kesimpulan dari data yang telah dikumpulkan. Metode ini dilakukan dengan cara menguraikan secara sistematis permasalahan yang dikaji dengan mengacu pada norma-norma hukum yang berlaku. Selanjutnya, peneliti berupaya menjelaskan serta mengidentifikasi akar permasalahan yang berkaitan dengan topik penelitian. Permasalahan tersebut kemudian dianalisis berdasarkan ketentuan hukum dan peraturan perundang-undangan yang relevan, sehingga dapat diperoleh pemahaman mengenai upaya penyelesaian yang sesuai dengan kerangka hukum yang berlaku.</w:t>
      </w:r>
    </w:p>
    <w:p w:rsidR="00654375" w:rsidRPr="001A15FF" w:rsidRDefault="00654375" w:rsidP="00654375">
      <w:pPr>
        <w:pStyle w:val="ListParagraph"/>
        <w:tabs>
          <w:tab w:val="left" w:pos="-2694"/>
        </w:tabs>
        <w:spacing w:line="360" w:lineRule="auto"/>
        <w:ind w:left="0" w:hanging="2"/>
        <w:jc w:val="both"/>
        <w:rPr>
          <w:rFonts w:ascii="Times New Roman" w:hAnsi="Times New Roman" w:cs="Times New Roman"/>
          <w:sz w:val="22"/>
          <w:szCs w:val="22"/>
        </w:rPr>
      </w:pPr>
      <w:r w:rsidRPr="001A15FF">
        <w:rPr>
          <w:rFonts w:ascii="Times New Roman" w:hAnsi="Times New Roman" w:cs="Times New Roman"/>
          <w:sz w:val="22"/>
          <w:szCs w:val="22"/>
        </w:rPr>
        <w:tab/>
      </w:r>
    </w:p>
    <w:p w:rsidR="00654375" w:rsidRPr="001A15FF" w:rsidRDefault="00654375" w:rsidP="00654375">
      <w:pPr>
        <w:pStyle w:val="ListParagraph"/>
        <w:tabs>
          <w:tab w:val="left" w:pos="-2694"/>
        </w:tabs>
        <w:spacing w:line="360" w:lineRule="auto"/>
        <w:ind w:left="0" w:hanging="2"/>
        <w:jc w:val="both"/>
        <w:rPr>
          <w:rFonts w:ascii="Times New Roman" w:hAnsi="Times New Roman" w:cs="Times New Roman"/>
          <w:sz w:val="22"/>
          <w:szCs w:val="22"/>
        </w:rPr>
      </w:pPr>
      <w:r w:rsidRPr="001A15FF">
        <w:rPr>
          <w:rFonts w:ascii="Times New Roman" w:hAnsi="Times New Roman" w:cs="Times New Roman"/>
          <w:sz w:val="22"/>
          <w:szCs w:val="22"/>
        </w:rPr>
        <w:t>Teknik analisis bahan hukum adalah cara untuk mengelola bahan hukum dalam penelitian. Berikut beberapa Teknik analisis bahan hukum normatif:</w:t>
      </w:r>
    </w:p>
    <w:p w:rsidR="00654375" w:rsidRPr="001A15FF" w:rsidRDefault="00654375" w:rsidP="00654375">
      <w:pPr>
        <w:pStyle w:val="ListParagraph"/>
        <w:numPr>
          <w:ilvl w:val="0"/>
          <w:numId w:val="33"/>
        </w:numPr>
        <w:tabs>
          <w:tab w:val="left" w:pos="-2694"/>
        </w:tabs>
        <w:spacing w:line="360" w:lineRule="auto"/>
        <w:jc w:val="both"/>
        <w:rPr>
          <w:rFonts w:ascii="Times New Roman" w:hAnsi="Times New Roman" w:cs="Times New Roman"/>
          <w:bCs/>
          <w:sz w:val="22"/>
          <w:szCs w:val="22"/>
        </w:rPr>
      </w:pPr>
      <w:r w:rsidRPr="001A15FF">
        <w:rPr>
          <w:rFonts w:ascii="Times New Roman" w:hAnsi="Times New Roman" w:cs="Times New Roman"/>
          <w:bCs/>
          <w:sz w:val="22"/>
          <w:szCs w:val="22"/>
        </w:rPr>
        <w:t>Teknik deskriptif yaitu Teknik yang menguraikan situasi atau posisi dari proposisi hukum dengan apa adanya.</w:t>
      </w:r>
    </w:p>
    <w:p w:rsidR="00654375" w:rsidRPr="001A15FF" w:rsidRDefault="00654375" w:rsidP="00654375">
      <w:pPr>
        <w:pStyle w:val="ListParagraph"/>
        <w:numPr>
          <w:ilvl w:val="0"/>
          <w:numId w:val="33"/>
        </w:numPr>
        <w:tabs>
          <w:tab w:val="left" w:pos="-2694"/>
        </w:tabs>
        <w:spacing w:line="360" w:lineRule="auto"/>
        <w:jc w:val="both"/>
        <w:rPr>
          <w:rFonts w:ascii="Times New Roman" w:hAnsi="Times New Roman" w:cs="Times New Roman"/>
          <w:bCs/>
          <w:sz w:val="22"/>
          <w:szCs w:val="22"/>
        </w:rPr>
      </w:pPr>
      <w:r w:rsidRPr="001A15FF">
        <w:rPr>
          <w:rFonts w:ascii="Times New Roman" w:hAnsi="Times New Roman" w:cs="Times New Roman"/>
          <w:bCs/>
          <w:sz w:val="22"/>
          <w:szCs w:val="22"/>
        </w:rPr>
        <w:t>Teknik sistematisasi yaitu Teknik untuk mencari kaitan rumusan konsep hukum atau proposisi hukum antara peraturan perundang-undangan.</w:t>
      </w:r>
    </w:p>
    <w:p w:rsidR="00654375" w:rsidRPr="001A15FF" w:rsidRDefault="00654375" w:rsidP="00654375">
      <w:pPr>
        <w:pStyle w:val="ListParagraph"/>
        <w:numPr>
          <w:ilvl w:val="0"/>
          <w:numId w:val="33"/>
        </w:numPr>
        <w:tabs>
          <w:tab w:val="left" w:pos="-2694"/>
        </w:tabs>
        <w:spacing w:line="360" w:lineRule="auto"/>
        <w:jc w:val="both"/>
        <w:rPr>
          <w:rFonts w:ascii="Times New Roman" w:hAnsi="Times New Roman" w:cs="Times New Roman"/>
          <w:bCs/>
          <w:sz w:val="22"/>
          <w:szCs w:val="22"/>
        </w:rPr>
      </w:pPr>
      <w:r w:rsidRPr="001A15FF">
        <w:rPr>
          <w:rFonts w:ascii="Times New Roman" w:hAnsi="Times New Roman" w:cs="Times New Roman"/>
          <w:bCs/>
          <w:sz w:val="22"/>
          <w:szCs w:val="22"/>
        </w:rPr>
        <w:t>Penafsiran gramatikal yaitu Teknik penafsiran yang digunakan untuk menganalisis peraturan perundang-undangan.</w:t>
      </w:r>
    </w:p>
    <w:p w:rsidR="00654375" w:rsidRPr="001A15FF" w:rsidRDefault="00654375" w:rsidP="00654375">
      <w:pPr>
        <w:tabs>
          <w:tab w:val="left" w:pos="1025"/>
        </w:tabs>
        <w:spacing w:line="360" w:lineRule="auto"/>
        <w:jc w:val="both"/>
        <w:rPr>
          <w:rFonts w:ascii="Times New Roman" w:eastAsia="Times New Roman" w:hAnsi="Times New Roman" w:cs="Times New Roman"/>
          <w:b/>
          <w:bCs/>
          <w:sz w:val="22"/>
          <w:szCs w:val="22"/>
          <w:lang w:val="id-ID"/>
        </w:rPr>
      </w:pPr>
    </w:p>
    <w:p w:rsidR="00654375" w:rsidRPr="001A15FF" w:rsidRDefault="00654375" w:rsidP="00654375">
      <w:pPr>
        <w:tabs>
          <w:tab w:val="left" w:pos="1025"/>
        </w:tabs>
        <w:spacing w:line="360" w:lineRule="auto"/>
        <w:jc w:val="both"/>
        <w:rPr>
          <w:rFonts w:ascii="Times New Roman" w:eastAsia="Times New Roman" w:hAnsi="Times New Roman" w:cs="Times New Roman"/>
          <w:b/>
          <w:bCs/>
          <w:sz w:val="22"/>
          <w:szCs w:val="22"/>
          <w:lang w:val="id-ID"/>
        </w:rPr>
      </w:pPr>
      <w:r w:rsidRPr="001A15FF">
        <w:rPr>
          <w:rFonts w:ascii="Times New Roman" w:eastAsia="Times New Roman" w:hAnsi="Times New Roman" w:cs="Times New Roman"/>
          <w:b/>
          <w:bCs/>
          <w:sz w:val="22"/>
          <w:szCs w:val="22"/>
          <w:lang w:val="id-ID"/>
        </w:rPr>
        <w:t>HASIL DAN DISKUSI</w:t>
      </w:r>
      <w:bookmarkStart w:id="1" w:name="_Toc233100790"/>
    </w:p>
    <w:p w:rsidR="00654375" w:rsidRPr="001A15FF" w:rsidRDefault="00654375" w:rsidP="00654375">
      <w:pPr>
        <w:tabs>
          <w:tab w:val="left" w:pos="1025"/>
        </w:tabs>
        <w:spacing w:line="360" w:lineRule="auto"/>
        <w:jc w:val="both"/>
        <w:rPr>
          <w:rFonts w:ascii="Times New Roman" w:eastAsia="Times New Roman" w:hAnsi="Times New Roman" w:cs="Times New Roman"/>
          <w:b/>
          <w:bCs/>
          <w:sz w:val="22"/>
          <w:szCs w:val="22"/>
          <w:lang w:val="id-ID"/>
        </w:rPr>
      </w:pPr>
      <w:r w:rsidRPr="001A15FF">
        <w:rPr>
          <w:rFonts w:ascii="Times New Roman" w:hAnsi="Times New Roman" w:cs="Times New Roman"/>
          <w:b/>
          <w:bCs/>
          <w:sz w:val="22"/>
          <w:szCs w:val="22"/>
        </w:rPr>
        <w:t>Pelaksanaan Perkawinan Campuran Di Indonesia Menurut Undang-Undang No.1 Tahun 1974 Tentang Perkawinan</w:t>
      </w:r>
      <w:bookmarkEnd w:id="1"/>
      <w:r w:rsidRPr="001A15FF">
        <w:rPr>
          <w:rFonts w:ascii="Times New Roman" w:hAnsi="Times New Roman" w:cs="Times New Roman"/>
          <w:b/>
          <w:bCs/>
          <w:sz w:val="22"/>
          <w:szCs w:val="22"/>
        </w:rPr>
        <w:t xml:space="preserve"> </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Dalam kehidupan bermasyarakat dan bernegara, manusia tidak dapat dipisahkan dari keberadaan norma-norma yang mengatur perilakunya, baik norma hukum, norma agama, maupun norma sosial lainnya seperti kesopanan dan kesusilaan. Norma-norma tersebut menjadi pedoman dalam menjaga keteraturan dan keseimbangan dalam kehidupan sosial. Dalam perspektif sosiologi hukum, norma hukum tidak berdiri sendiri, melainkan senantiasa dipengaruhi oleh dinamika perkembangan masyarakat. Oleh karena itu, hukum tidak bersifat tetap, tetapi terus mengalami perubahan seiring dengan perkembangan sosial yang terjadi. Hukum tidak hanya dipahami sebagai seperangkat aturan yang statis, melainkan sebagai sistem yang adaptif terhadap kebutuhan masyarakat. Dengan demikian, keberadaan hukum memiliki fungsi penting sebagai sarana kontrol sosial yang diharapkan mampu memberikan solusi terhadap berbagai permasalahan yang muncul dalam kehidupan masyarakat.</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lang w:val="id-ID"/>
        </w:rPr>
        <w:t>Tuntutan terhadap perubahan sosial seharusnya diikuti oleh penyesuaian dalam sistem hukum yang selama ini cenderung bersifat tetap. Apabila hukum tidak mampu merespons dinamika dan perkembangan masyarakat, maka akan muncul berbagai hambatan, baik dalam upaya penegakan hukum maupun dalam mewujudkan keadilan. Oleh karena itu, hukum dituntut untuk bersifat responsif agar tetap relevan dengan kebutuhan sosial yang terus berkembang.</w:t>
      </w:r>
      <w:r w:rsidRPr="001A15FF">
        <w:rPr>
          <w:rFonts w:ascii="Times New Roman" w:hAnsi="Times New Roman" w:cs="Times New Roman"/>
          <w:sz w:val="22"/>
          <w:szCs w:val="22"/>
        </w:rPr>
        <w:t xml:space="preserve"> </w:t>
      </w:r>
      <w:r w:rsidRPr="001A15FF">
        <w:rPr>
          <w:rFonts w:ascii="Times New Roman" w:hAnsi="Times New Roman" w:cs="Times New Roman"/>
          <w:sz w:val="22"/>
          <w:szCs w:val="22"/>
          <w:lang w:val="id-ID"/>
        </w:rPr>
        <w:t>Sebaliknya, apabila perubahan hukum mampu mengikuti dinamika yang hidup dalam masyarakat, maka hukum akan tetap selaras dengan realitas sosial. Dalam pandangan ini, hukum dipahami sebagai sesuatu yang hidup dan berkembang bersama masyarakat (</w:t>
      </w:r>
      <w:r w:rsidRPr="001A15FF">
        <w:rPr>
          <w:rFonts w:ascii="Times New Roman" w:hAnsi="Times New Roman" w:cs="Times New Roman"/>
          <w:i/>
          <w:iCs/>
          <w:sz w:val="22"/>
          <w:szCs w:val="22"/>
          <w:lang w:val="id-ID"/>
        </w:rPr>
        <w:t>es ist und wird mit dem Volke</w:t>
      </w:r>
      <w:r w:rsidRPr="001A15FF">
        <w:rPr>
          <w:rFonts w:ascii="Times New Roman" w:hAnsi="Times New Roman" w:cs="Times New Roman"/>
          <w:sz w:val="22"/>
          <w:szCs w:val="22"/>
          <w:lang w:val="id-ID"/>
        </w:rPr>
        <w:t>). Pemikiran tersebut sejalan dengan pandangan Von Savigny yang menyatakan bahwa hukum tumbuh dan berkembang seiring dengan perkembangan masyarakat, berdasarkan nilai-nilai yang hidup di dalamnya.</w:t>
      </w:r>
      <w:r w:rsidRPr="001A15FF">
        <w:rPr>
          <w:rFonts w:ascii="Times New Roman" w:hAnsi="Times New Roman" w:cs="Times New Roman"/>
          <w:sz w:val="22"/>
          <w:szCs w:val="22"/>
        </w:rPr>
        <w:t xml:space="preserve"> </w:t>
      </w:r>
      <w:r w:rsidRPr="001A15FF">
        <w:rPr>
          <w:rFonts w:ascii="Times New Roman" w:hAnsi="Times New Roman" w:cs="Times New Roman"/>
          <w:sz w:val="22"/>
          <w:szCs w:val="22"/>
          <w:lang w:val="id-ID"/>
        </w:rPr>
        <w:t>Dengan demikian, hukum harus tetap menjalankan fungsinya secara efektif dalam menjaga kemaslahatan, keteraturan, dan ketertiban dalam kehidupan masyarakat.</w:t>
      </w:r>
      <w:r w:rsidRPr="001A15FF">
        <w:rPr>
          <w:rFonts w:ascii="Times New Roman" w:hAnsi="Times New Roman" w:cs="Times New Roman"/>
          <w:sz w:val="22"/>
          <w:szCs w:val="22"/>
        </w:rPr>
        <w:t xml:space="preserve"> Pembentukan hukum perkawinan di Indonesia sesungguhnya tidak lahir di ruang hampa; ia merupakan respons politik-hukum atas dinamika dan ketegangan nyata yang terjadi di tengah masyarakat. Rumusan Undang-Undang Nomor 1 Tahun 1974 tentang Perkawinan, yang kemudian dipertegas dengan lahirnya Kompilasi Hukum Islam (KHI) di era Orde Baru, tidak hanya dapat dibaca sebagai upaya teknis menata bidang perkawinan, tetapi juga sebagai strategi negara dalam “mengelola” aspirasi mayoritas muslim sekaligus menjaga citra harmonisasi antara hukum agama dan hukum negara.  </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Jika dilihat melalui kacamata teori eksistensi hukum, argumen bahwa hukussm Islam “tidak bisa dilepaskan” dari masyarakat muslim Indonesia karena mereka merupakan mayoritas sering dipakai untuk membenarkan proses positivisasi ajaran Islam ke dalam hukum nasional. Di permukaan, hal ini tampak sebagai bentuk pengakuan dan penghormatan negara terhadap identitas keagamaan mayoritas. Namun, secara kritis, perlu dipertanyakan: apakah positivisasi tersebut sungguh-sungguh dimaksudkan untuk memperkuat otonomi hukum Islam dan melindungi umat, atau justru untuk menempatkan hukum Islam dalam kerangka kontrol negara, sehingga yang “diakui” hanya versi hukum Islam yang sudah disaring, disederhanakan, dan disejajarkan dengan kepentingan politik rezim.</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 xml:space="preserve">Kompilasi Hukum Islam, misalnya, kerap diposisikan sebagai “kodifikasi” hukum Islam di bidang perkawinan, waris, dan perwakafan. Akan tetapi, di sisi lain, ia juga menyatukan dan memilih sebagian pendapat fikih tertentu sekaligus menyingkirkan keragaman pemikiran dalam tradisi hukum Islam yang sesungguhnya sangat kaya. Dengan kata lain, ketika ajaran agama dipositivisasi menjadi hukum negara, yang terjadi bukan sekadar “pengalihan” dari ranah teologis ke ranah legal, tetapi juga proses reduksi dan seleksi: negara menentukan versi mana dari hukum Islam yang dianggap layak menjadi hukum positif. Di sini tampak bahwa klaim “agar masyarakat dapat mentaati hukum agama sekaligus hukum negara” menyimpan paradoks: justru karena diserap menjadi hukum negara, hukum agama kehilangan sebagian ruang otonominya dan menjadi tunduk pada logika legislasi dan birokrasi.  </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 xml:space="preserve">Dari sudut pandang hak warga negara, positivisasi hukum Islam di bidang perkawinan juga melahirkan pertanyaan penting: sejauh mana ia membuka ruang keadilan, dan sejauh mana ia malah mengunci pilihan? Bagi muslim, keberadaan KHI dan penguatan peradilan agama memang memberi jalur yang lebih jelas dan formal untuk menyelesaikan sengketa perkawinan secara “sesuai syariat”. Namun bagi mereka yang memiliki pandangan keagamaan berbeda, lebih progresif, atau menjadi pihak yang rentan (misalnya perempuan dalam kasus poligami, talak, atau hak nafkah), aturan yang telah dipositivisasi itu bisa menjadi belenggu baru, karena interpretasi yang berbeda dari apa yang tercantum dalam KHI tidak lagi dipandang sebagai bagian dari dinamika pemikiran fikih, melainkan sebagai penyimpangan dari hukum positif.  Selain itu, narasi bahwa hukum Islam perlu dipositivisasi “karena mayoritas” juga berpotensi mengaburkan persoalan relasi kuasa. Di tangan rezim politik tertentu, legitimasi mayoritas bisa dijadikan alasan untuk memarginalkan kebutuhan kelompok minoritas, baik minoritas agama maupun minoritas tafsir di dalam tubuh umat Islam sendiri. Dalam konteks ini, hukum perkawinan nasional dan KHI bukan hanya instrumen normatif, tetapi juga arena di mana negara mendefinisikan ulang apa artinya menjadi “muslim yang patuh” menurut standar resmi.  </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Dengan demikian, kalimat bahwa “hukum Islam perlu dipositivisasi agar masyarakat dapat mentaati hukum agama sekaligus hukum negara” seharusnya tidak dibaca secara netral. Pertanyaan kritis yang patut diajukan adalah: apakah positivisasi itu sungguh-sungguh menguatkan kapasitas masyarakat untuk beragama secara otentik, atau justru menjadikan agama sebagai instrumen legitimasi kebijakan negara. Dan lebih jauh lagi, apakah konstruksi hukum perkawinan yang lahir dari proses ini sudah sensitif terhadap isu keadilan gender, hak anak, dan pluralisme internal dalam Islam, atau baru berhenti pada upaya menjaga ketertiban formal semata.</w:t>
      </w:r>
    </w:p>
    <w:p w:rsidR="00654375" w:rsidRPr="001A15FF" w:rsidRDefault="00654375" w:rsidP="00654375">
      <w:pPr>
        <w:spacing w:line="360" w:lineRule="auto"/>
        <w:ind w:firstLine="567"/>
        <w:jc w:val="both"/>
        <w:rPr>
          <w:rFonts w:ascii="Times New Roman" w:hAnsi="Times New Roman" w:cs="Times New Roman"/>
          <w:sz w:val="22"/>
          <w:szCs w:val="22"/>
          <w:lang w:val="id-ID"/>
        </w:rPr>
      </w:pPr>
      <w:r w:rsidRPr="001A15FF">
        <w:rPr>
          <w:rFonts w:ascii="Times New Roman" w:hAnsi="Times New Roman" w:cs="Times New Roman"/>
          <w:sz w:val="22"/>
          <w:szCs w:val="22"/>
          <w:lang w:val="id-ID"/>
        </w:rPr>
        <w:t>Undang-Undang Nomor 1 Tahun 1974 tentang Perkawinan beserta peraturan pelaksanaannya pada dasarnya telah mengatur berbagai aspek yang berkaitan dengan perkawinan di Indonesia. Pengaturan tersebut tidak dapat dilepaskan dari nilai-nilai keagamaan yang menjadi landasan utama, khususnya dalam konteks ajaran agama Islam. Hal ini dapat dilihat sejak perumusan awal mengenai pengertian perkawinan dalam undang-undang tersebut. Dalam Pasal 1 Undang-Undang Nomor 1 Tahun 1974 ditegaskan bahwa perkawinan adalah ikatan lahir dan batin antara seorang laki-laki dan seorang perempuan sebagai suami istri, yang bertujuan membentuk keluarga atau rumah tangga yang bahagia dan kekal berdasarkan Ketuhanan Yang Maha Esa. Rumusan ini menunjukkan bahwa perkawinan tidak hanya dipandang sebagai hubungan hukum, tetapi juga mengandung dimensi spiritual yang kuat. Jika dibandingkan dengan pengertian perkawinan dalam Kompilasi Hukum Islam, terdapat perbedaan penekanan. Kompilasi Hukum Islam mendefinisikan perkawinan sebagai suatu akad yang sangat kuat (</w:t>
      </w:r>
      <w:r w:rsidRPr="001A15FF">
        <w:rPr>
          <w:rFonts w:ascii="Times New Roman" w:hAnsi="Times New Roman" w:cs="Times New Roman"/>
          <w:i/>
          <w:iCs/>
          <w:sz w:val="22"/>
          <w:szCs w:val="22"/>
          <w:lang w:val="id-ID"/>
        </w:rPr>
        <w:t>mitsaqan ghalizhan</w:t>
      </w:r>
      <w:r w:rsidRPr="001A15FF">
        <w:rPr>
          <w:rFonts w:ascii="Times New Roman" w:hAnsi="Times New Roman" w:cs="Times New Roman"/>
          <w:sz w:val="22"/>
          <w:szCs w:val="22"/>
          <w:lang w:val="id-ID"/>
        </w:rPr>
        <w:t>) untuk menaati perintah Allah, yang pelaksanaannya dipandang sebagai bentuk ibadah. Dengan demikian, meskipun keduanya sama-sama menekankan aspek religius, Undang-Undang Perkawinan memberikan rumusan yang lebih umum dan komprehensif, sedangkan Kompilasi Hukum Islam lebih menekankan dimensi teologis dalam pelaksanaan perkawinan.</w:t>
      </w:r>
    </w:p>
    <w:p w:rsidR="00654375" w:rsidRPr="001A15FF" w:rsidRDefault="00654375" w:rsidP="00654375">
      <w:pPr>
        <w:spacing w:line="360" w:lineRule="auto"/>
        <w:ind w:firstLine="567"/>
        <w:jc w:val="both"/>
        <w:rPr>
          <w:rFonts w:ascii="Times New Roman" w:hAnsi="Times New Roman" w:cs="Times New Roman"/>
          <w:sz w:val="22"/>
          <w:szCs w:val="22"/>
          <w:lang w:val="id-ID"/>
        </w:rPr>
      </w:pPr>
      <w:r w:rsidRPr="001A15FF">
        <w:rPr>
          <w:rFonts w:ascii="Times New Roman" w:hAnsi="Times New Roman" w:cs="Times New Roman"/>
          <w:sz w:val="22"/>
          <w:szCs w:val="22"/>
          <w:lang w:val="id-ID"/>
        </w:rPr>
        <w:t xml:space="preserve">Undang-Undang Nomor 1 Tahun 1974 dan Kompilasi Hukum Islam (KHI) sebenarnya tidak hanya memberikan definisi normatif tentang perkawinan, tetapi juga memperlihatkan “wajah” negara dan cara negara memaknai hubungan antara hukum, agama, dan keluarga. Rumusan Pasal 1 Undang-Undang Perkawinan yang menempatkan perkawinan sebagai “ikatan lahir dan batin berdasarkan Ketuhanan Yang Maha Esa” tampak moderat dan inklusif, karena menggunakan bahasa religius yang bersifat umum dan dapat dipeluk oleh semua agama. Di sisi lain, rumusan dalam KHI yang menyebut perkawinan sebagai </w:t>
      </w:r>
      <w:r w:rsidRPr="001A15FF">
        <w:rPr>
          <w:rFonts w:ascii="Times New Roman" w:hAnsi="Times New Roman" w:cs="Times New Roman"/>
          <w:i/>
          <w:iCs/>
          <w:sz w:val="22"/>
          <w:szCs w:val="22"/>
          <w:lang w:val="id-ID"/>
        </w:rPr>
        <w:t>mitsaqan ghalizhan</w:t>
      </w:r>
      <w:r w:rsidRPr="001A15FF">
        <w:rPr>
          <w:rFonts w:ascii="Times New Roman" w:hAnsi="Times New Roman" w:cs="Times New Roman"/>
          <w:sz w:val="22"/>
          <w:szCs w:val="22"/>
          <w:lang w:val="id-ID"/>
        </w:rPr>
        <w:t xml:space="preserve"> dan bentuk ketaatan kepada perintah Allah secara eksplisit menyandarkan dirinya pada teologi Islam. Secara politik-hukum, ini menunjukkan adanya dua lapis konstruksi: satu “bahasa konstitusional” yang hendak merangkul semua pemeluk agama, dan satu “bahasa intra-agama” yang secara spesifik mengarahkan praktik hidup umat Islam.</w:t>
      </w:r>
    </w:p>
    <w:p w:rsidR="00654375" w:rsidRPr="001A15FF" w:rsidRDefault="00654375" w:rsidP="00654375">
      <w:pPr>
        <w:spacing w:line="360" w:lineRule="auto"/>
        <w:ind w:firstLine="567"/>
        <w:jc w:val="both"/>
        <w:rPr>
          <w:rFonts w:ascii="Times New Roman" w:hAnsi="Times New Roman" w:cs="Times New Roman"/>
          <w:sz w:val="22"/>
          <w:szCs w:val="22"/>
          <w:lang w:val="id-ID"/>
        </w:rPr>
      </w:pPr>
      <w:r w:rsidRPr="001A15FF">
        <w:rPr>
          <w:rFonts w:ascii="Times New Roman" w:hAnsi="Times New Roman" w:cs="Times New Roman"/>
          <w:sz w:val="22"/>
          <w:szCs w:val="22"/>
          <w:lang w:val="id-ID"/>
        </w:rPr>
        <w:t xml:space="preserve">Jika dibaca secara kritis, perbedaan penekanan ini menimbulkan beberapa pertanyaan penting. Pertama, ketika Undang-Undang Perkawinan memakai formulasi umum yang tampak netral, sejauh mana netralitas itu sungguh-sungguh mencerminkan posisi yang setara bagi semua agama, dan sejauh mana sebenarnya tetap didominasi oleh pola pikir mayoritas (dalam hal ini, Islam) yang kemudian “diterjemahkan” ke dalam bahasa legal yang lebih universal. Di titik ini, KHI berfungsi seolah sebagai “terjemahan eksplisit” dari spirit keagamaan yang secara implisit sudah memengaruhi Undang-Undang Perkawinan, khususnya bagi umat Islam. Artinya, Undang-Undang Perkawinan tampak pluralistik di permukaan, tetapi di lapangan, tafsir dan praktiknya, terutama di lingkungan peradilan agama, sangat mungkin bergerak mengikuti konstruksi teologis KHI. Kedua, karakter teologis KHI yang menekankan </w:t>
      </w:r>
      <w:r w:rsidRPr="001A15FF">
        <w:rPr>
          <w:rFonts w:ascii="Times New Roman" w:hAnsi="Times New Roman" w:cs="Times New Roman"/>
          <w:i/>
          <w:iCs/>
          <w:sz w:val="22"/>
          <w:szCs w:val="22"/>
          <w:lang w:val="id-ID"/>
        </w:rPr>
        <w:t>mitsaqan ghalizhan</w:t>
      </w:r>
      <w:r w:rsidRPr="001A15FF">
        <w:rPr>
          <w:rFonts w:ascii="Times New Roman" w:hAnsi="Times New Roman" w:cs="Times New Roman"/>
          <w:sz w:val="22"/>
          <w:szCs w:val="22"/>
          <w:lang w:val="id-ID"/>
        </w:rPr>
        <w:t xml:space="preserve"> dan dimensi ibadah membuat perkawinan diposisikan sebagai sesuatu yang sakral, nyaris “tak tersentuh”. Di satu sisi, hal ini dapat memperkuat tanggung jawab moral pasangan suami istri; di sisi lain, hal ini juga dapat menjadi penghalang ketika korban, terutama perempuan, mencari jalan keluar dari perkawinan yang tidak lagi adil atau bahkan penuh kekerasan. Ketika perkawinan terlalu disakralkan, perceraian cenderung dipersepsikan semata sebagai kegagalan moral, bukan sebagai mekanisme hukum untuk memulihkan keadilan dan melindungi pihak yang lemah. Dalam konteks ini, narasi spiritual justru berisiko menutupi dimensi kekuasaan dan ketimpangan gender yang kerap hadir dalam praktik rumah tangga.</w:t>
      </w:r>
    </w:p>
    <w:p w:rsidR="00654375" w:rsidRPr="001A15FF" w:rsidRDefault="00654375" w:rsidP="00654375">
      <w:pPr>
        <w:spacing w:line="360" w:lineRule="auto"/>
        <w:ind w:firstLine="567"/>
        <w:jc w:val="both"/>
        <w:rPr>
          <w:rFonts w:ascii="Times New Roman" w:hAnsi="Times New Roman" w:cs="Times New Roman"/>
          <w:sz w:val="22"/>
          <w:szCs w:val="22"/>
          <w:lang w:val="id-ID"/>
        </w:rPr>
      </w:pPr>
      <w:r w:rsidRPr="001A15FF">
        <w:rPr>
          <w:rFonts w:ascii="Times New Roman" w:hAnsi="Times New Roman" w:cs="Times New Roman"/>
          <w:sz w:val="22"/>
          <w:szCs w:val="22"/>
          <w:lang w:val="id-ID"/>
        </w:rPr>
        <w:t>Ketiga, klaim bahwa Undang-Undang Perkawinan “lebih umum dan komprehensif”, sementara KHI “lebih teologis”, perlu diwaspadai agar tidak meninabobokan pembaca. Yang terjadi bukan sekadar perbedaan gaya bahasa, melainkan perbedaan cara menempatkan subjek hukum. Undang-Undang Perkawinan cenderung memandang suami-istri sebagai warga negara yang diikat oleh hak dan kewajiban dalam sistem hukum nasional, sedangkan KHI memandang mereka sebagai hamba Allah yang menjalankan ibadah melalui institusi keluarga. Dua cara pandang ini bisa saling melengkapi, tetapi juga bisa saling berbenturan, misalnya ketika hak-hak sipil (nafkah, harta bersama, hak asuh anak) diputuskan berdasarkan pertimbangan teologis yang tidak selalu sejalan dengan prinsip kesetaraan dan keadilan substantif modern.</w:t>
      </w:r>
    </w:p>
    <w:p w:rsidR="00654375" w:rsidRPr="001A15FF" w:rsidRDefault="00654375" w:rsidP="00654375">
      <w:pPr>
        <w:spacing w:line="360" w:lineRule="auto"/>
        <w:ind w:firstLine="567"/>
        <w:jc w:val="both"/>
        <w:rPr>
          <w:rFonts w:ascii="Times New Roman" w:hAnsi="Times New Roman" w:cs="Times New Roman"/>
          <w:sz w:val="22"/>
          <w:szCs w:val="22"/>
          <w:lang w:val="id-ID"/>
        </w:rPr>
      </w:pPr>
      <w:r w:rsidRPr="001A15FF">
        <w:rPr>
          <w:rFonts w:ascii="Times New Roman" w:hAnsi="Times New Roman" w:cs="Times New Roman"/>
          <w:sz w:val="22"/>
          <w:szCs w:val="22"/>
          <w:lang w:val="id-ID"/>
        </w:rPr>
        <w:t>Di sini letak persoalan yang paling menarik sekaligus paling problematik: negara, melalui KHI dan Undang-Undang Perkawinan, berupaya menjahit nilai spiritual dan norma hukum ke dalam satu kain yang sama. Namun, jahitan itu tidak selalu rapi. Bagi sebagian pihak, terutama perempuan dan kelompok rentan, spiritualisasi hukum perkawinan dapat berdampak ganda: di satu sisi memberi makna religius yang mendalam, tetapi di sisi lain dapat memperkuat struktur yang sulit digugat ketika terjadi ketidakadilan dalam rumah tangga. Pertanyaan yang patut diajukan kepada pembaca, dan kepada pembuat undang-undang, adalah: apakah perpaduan antara rumusan umum Undang-Undang Perkawinan dan rumusan teologis KHI sudah benar-benar menghasilkan hukum perkawinan yang melindungi martabat dan hak semua pihak, atau justru masih lebih banyak mengamankan “ketertiban moral” versi negara dan mayoritas, sambil menyisakan ruang sempit bagi suara mereka yang paling rentan dalam perkawinan.</w:t>
      </w:r>
      <w:r w:rsidRPr="001A15FF">
        <w:rPr>
          <w:rFonts w:ascii="Times New Roman" w:hAnsi="Times New Roman" w:cs="Times New Roman"/>
          <w:sz w:val="22"/>
          <w:szCs w:val="22"/>
        </w:rPr>
        <w:t xml:space="preserve"> </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Dalam Undang-Undang Nomor 1 Tahun 1974 tentang Perkawinan, penggunaan frasa “antara seorang pria dan seorang wanita” menunjukkan bahwa konsep perkawinan yang diakui dalam sistem hukum Indonesia terbatas pada hubungan antara laki-laki dan perempuan. Rumusan ini secara implisit menutup kemungkinan pengakuan terhadap bentuk perkawinan lain di luar ketentuan tersebut, sebagaimana yang diakui di beberapa negara lain. Sementara itu, dalam Kompilasi Hukum Islam (KHI), tidak dijelaskan secara eksplisit mengenai subjek yang melakukan akad perkawinan. Namun demikian, jika dilihat dari keseluruhan prinsip dan ketentuan yang terkandung di dalamnya, KHI tetap berlandaskan pada ajaran hukum Islam yang memandang perkawinan sebagai hubungan antara laki-laki dan perempuan. Dengan demikian, baik dalam Undang-Undang Perkawinan maupun dalam KHI, terdapat kesamaan dalam menempatkan perkawinan dalam kerangka hubungan heteroseksual sesuai dengan norma hukum dan keagamaan yang berlaku di Indonesia. Dalam Undang-Undang Nomor 1 Tahun 1974, frasa “antara seorang pria dan seorang wanita” secara eksplisit mengunci definisi perkawinan dalam kerangka hubungan heteroseksual. Rumusan ini tidak sekadar deskripsi, tetapi merupakan pilihan politik-hukum yang menegaskan bahwa hanya model keluarga tertentu yang diakui negara sebagai sah. Dengan demikian, segala bentuk relasi di luar pola laki-laki, perempuan, bagaimanapun realitas sosialnya, secara otomatis ditempatkan di luar batas pengakuan hukum. Ini menunjukkan bahwa undang-undang bukan hanya mencerminkan nilai sosial, tetapi juga secara aktif membentuk batasan tentang apa yang dianggap “normal” dan “berhak” untuk memperoleh perlindungan hukum.</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Kompilasi Hukum Islam (KHI), meskipun tidak menegaskan secara eksplisit perihal “pria dan wanita” dalam definisi perkawinannya, tetap beroperasi dalam paradigma fikih klasik yang secara mutlak memandang perkawinan sebagai hubungan antara laki-laki dan perempuan. Diamnya KHI dalam soal subjek akad bukan berarti netral, melainkan mencerminkan asumsi teologis yang sudah dianggap begitu taken for granted sehingga tidak perlu disebut lagi: bahwa hanya hubungan heteroseksual yang mungkin dan sah dalam kerangka hukum Islam. Di sini terlihat bahwa baik Undang-Undang Perkawinan maupun KHI bergerak dalam garis yang sama, meski dengan bahasa yang berbeda: keduanya mengafirmasi model keluarga heteroseksual sebagai satu-satunya bentuk yang sah.</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Dari sudut pandang teori hukum dan hak asasi manusia, posisi ini menimbulkan beberapa catatan kritis. Pertama, definisi yang sangat sempit tentang subjek perkawinan menjadikan sistem hukum Indonesia bersifat eksklusif terhadap kelompok-kelompok yang orientasi, identitas, atau bentuk relasinya tidak sesuai dengan pola heteroseksual. Mereka bukan hanya tidak diakui, tetapi juga kehilangan akses terhadap serangkaian hak yang melekat pada institusi perkawinan, seperti hak waris, jaminan sosial, status anak, dan perlindungan hukum dalam konflik keluarga. Dengan kata lain, rumusan yang tampak sederhana tersebut bekerja sebagai mekanisme eksklusi yang sangat efektif. Kedua, keselarasan antara Undang-Undang Perkawinan dan KHI dalam menempatkan perkawinan dalam kerangka heteroseksual menunjukkan adanya penguatan berlapis: negara dan agama saling menopang dalam mempertahankan satu model keluarga tertentu. Ini membuat ruang bagi perdebatan alternatif menjadi sangat sempit, karena siapa pun yang mempertanyakan model tersebut bukan hanya dianggap bertentangan dengan hukum positif, tetapi sekaligus diposisikan sebagai berseberangan dengan norma agama. Dalam konteks ini, hukum perkawinan tidak hanya mengatur perilaku, tetapi juga mengontrol imajinasi sosial tentang bentuk-bentuk keluarga yang mungkin dan sah. Ketiga, bagi pembaca yang kritis, situasi ini memunculkan pertanyaan lebih jauh: sejauh mana sistem hukum berani mengakui keberagaman realitas keluarga di masyarakat, dan sejauh mana ia memilih mempertahankan definisi sempit demi menjaga keseragaman moral dan ketertiban sosial versi dominan. Di satu sisi, negara dapat berargumen bahwa pembatasan ini selaras dengan nilai keagamaan mayoritas dan dasar konstitusional. Namun, di sisi lain, pembatasan tersebut juga dapat dibaca sebagai bentuk penyangkalan terhadap keberadaan kelompok-kelompok yang hidup di luar kerangka heteroseksual, sekaligus penundaan untuk menghadapi diskusi yang lebih jujur mengenai keadilan, pengakuan, dan perlindungan hak dalam masyarakat yang terus berubah.</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Pelaksanaan perkawinan campuran di Indonesia juga diatur secara spesifik dalam Undang-Undang No. 1 Tahun 1974 tentang Perkawinan, khususnya pada Pasal 57 sampai Pasal 62. Perkawinan campuran dalam konteks hukum ini didefinisikan sebagai perkawinan antara dua orang yang di Indonesia tunduk pada hukum yang berbeda, karena perbedaan kewarganegaraan dan salah satu pihak berkewarganegaraan Indonesia. Berikut adalah poin-poin utama pelaksanaannya menurut Undang-Undang No.1 Tahun 1974.</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Pelaksanaan perkawinan campuran di Indonesia tidak hanya diatur secara teknis, tetapi juga mencerminkan cara negara memposisikan diri dalam mengelola relasi lintas kewarganegaraan. Undang-Undang Nomor 1 Tahun 1974, khususnya Pasal 57 sampai Pasal 62, mendefinisikan perkawinan campuran secara sempit sebagai perkawinan antara dua orang yang tunduk pada hukum berbeda karena perbedaan kewarganegaraan, dengan syarat salah satu pihak adalah warga negara Indonesia. Pembatasan definisi ini menunjukkan bahwa perhatian utama negara bukan pada perbedaan agama atau sistem nilai yang lebih luas, melainkan pada dimensi kewarganegaraan sebagai garis batas yang dianggap paling penting dalam hubungan hukum keluarga lintas negara. Jika dicermati, konstruksi ini mengandung implikasi politik-hukum yang tidak sederhana. Di satu sisi, pengaturan tersebut memberi kerangka yang relatif jelas bagi pasangan WNI–WNA: mulai dari syarat formil, pilihan hukum, hingga konsekuensi status kewarganegaraan. Namun di sisi lain, dengan membatasi makna perkawinan campuran hanya pada perbedaan kewarganegaraan, undang-undang seolah “melepaskan diri” dari problem lain yang secara sosiologis tidak kalah besar, seperti perkawinan beda agama yang sebelumnya pernah tercakup dalam pengertian perkawinan campuran pada masa GHR. Akibatnya, lahir situasi yang timpang: negara tampak lebih siap mengatur hubungan lintas kewarganegaraan, tetapi jauh lebih berhati-hati, untuk tidak mengatakan menghindar, ketika berhadapan dengan isu sensitif seperti perbedaan agama.</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Selain itu, pengaturan yang sangat spesifik dari Pasal 57 sampai Pasal 62 sering kali dibaca sekadar sebagai “petunjuk prosedural”, padahal di balik itu tersimpan logika seleksi: tidak semua hubungan lintas batas diakui, hanya yang sesuai dengan konstruk kewarganegaraan yang telah ditentukan. Hal ini menegaskan bahwa perkawinan campuran, dalam perspektif undang-undang, bukan sekadar persoalan dua individu yang ingin membentuk keluarga, tetapi juga instrumen untuk mengatur mobilitas status kewarganegaraan, keimigrasian, dan bahkan demografi. Pertanyaannya, sejauh mana desain tersebut sungguh dirancang untuk melindungi hak-hak pasangan dan anak-anak hasil perkawinan campuran, dan sejauh mana ia lebih mencerminkan kepentingan negara dalam mengontrol keluar-masuknya “keanggotaan” dalam komunitas kewarganegaraan Indonesia.</w:t>
      </w:r>
    </w:p>
    <w:p w:rsidR="00654375" w:rsidRPr="001A15FF" w:rsidRDefault="00654375" w:rsidP="00654375">
      <w:pPr>
        <w:spacing w:line="360" w:lineRule="auto"/>
        <w:ind w:hanging="2"/>
        <w:jc w:val="both"/>
        <w:rPr>
          <w:rFonts w:ascii="Times New Roman" w:hAnsi="Times New Roman" w:cs="Times New Roman"/>
          <w:b/>
          <w:bCs/>
          <w:sz w:val="22"/>
          <w:szCs w:val="22"/>
        </w:rPr>
      </w:pPr>
      <w:r w:rsidRPr="001A15FF">
        <w:rPr>
          <w:rFonts w:ascii="Times New Roman" w:hAnsi="Times New Roman" w:cs="Times New Roman"/>
          <w:b/>
          <w:bCs/>
          <w:sz w:val="22"/>
          <w:szCs w:val="22"/>
        </w:rPr>
        <w:t>Syarat Materiil dan Formal</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Berdasarkan Pasal 59, pelaksanaan perkawinan campuran harus memenuhi syarat-syarat perkawinan yang berlaku di tempat perkawinan itu dilangsungkan.</w:t>
      </w:r>
    </w:p>
    <w:p w:rsidR="00654375" w:rsidRPr="001A15FF" w:rsidRDefault="00654375" w:rsidP="00654375">
      <w:pPr>
        <w:pStyle w:val="ListParagraph"/>
        <w:numPr>
          <w:ilvl w:val="0"/>
          <w:numId w:val="22"/>
        </w:numPr>
        <w:spacing w:line="360" w:lineRule="auto"/>
        <w:ind w:left="284" w:hanging="286"/>
        <w:jc w:val="both"/>
        <w:rPr>
          <w:rFonts w:ascii="Times New Roman" w:hAnsi="Times New Roman" w:cs="Times New Roman"/>
          <w:sz w:val="22"/>
          <w:szCs w:val="22"/>
        </w:rPr>
      </w:pPr>
      <w:r w:rsidRPr="001A15FF">
        <w:rPr>
          <w:rFonts w:ascii="Times New Roman" w:hAnsi="Times New Roman" w:cs="Times New Roman"/>
          <w:sz w:val="22"/>
          <w:szCs w:val="22"/>
        </w:rPr>
        <w:t xml:space="preserve">Warga Negara Indonesia (WNI) Harus memenuhi syarat sesuai UU No. 1 Tahun 1974 </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Dalam konteks perkawinan campuran, subjek hukum Warga Negara Indonesia (WNI) tetap terikat secara absolut pada ketentuan materiil yang diatur dalam Undang-Undang Nomor 1 Tahun 1974 jo. Undang-Undang Nomor 16 Tahun 2019. Penelitian ini mengidentifikasi tiga pilar utama syarat materiil yang wajib dipenuhi yaitu :</w:t>
      </w:r>
    </w:p>
    <w:p w:rsidR="00654375" w:rsidRPr="001A15FF" w:rsidRDefault="00654375" w:rsidP="00654375">
      <w:pPr>
        <w:pStyle w:val="ListParagraph"/>
        <w:numPr>
          <w:ilvl w:val="0"/>
          <w:numId w:val="46"/>
        </w:numPr>
        <w:spacing w:line="360" w:lineRule="auto"/>
        <w:ind w:left="567" w:hanging="283"/>
        <w:jc w:val="both"/>
        <w:rPr>
          <w:rFonts w:ascii="Times New Roman" w:hAnsi="Times New Roman" w:cs="Times New Roman"/>
          <w:sz w:val="22"/>
          <w:szCs w:val="22"/>
        </w:rPr>
      </w:pPr>
      <w:r w:rsidRPr="001A15FF">
        <w:rPr>
          <w:rFonts w:ascii="Times New Roman" w:hAnsi="Times New Roman" w:cs="Times New Roman"/>
          <w:sz w:val="22"/>
          <w:szCs w:val="22"/>
        </w:rPr>
        <w:t xml:space="preserve">Batas Usia Minimal </w:t>
      </w:r>
      <w:r w:rsidRPr="001A15FF">
        <w:rPr>
          <w:rFonts w:ascii="Times New Roman" w:hAnsi="Times New Roman" w:cs="Times New Roman"/>
          <w:i/>
          <w:iCs/>
          <w:sz w:val="22"/>
          <w:szCs w:val="22"/>
        </w:rPr>
        <w:t>(Legal Age)</w:t>
      </w:r>
      <w:r w:rsidRPr="001A15FF">
        <w:rPr>
          <w:rFonts w:ascii="Times New Roman" w:hAnsi="Times New Roman" w:cs="Times New Roman"/>
          <w:sz w:val="22"/>
          <w:szCs w:val="22"/>
        </w:rPr>
        <w:t xml:space="preserve"> berdasarkan revisi terbaru pada Pasal 7 ayat (1) UU Perkawinan, pria dan wanita hanya diizinkan menikah apabila telah mencapai usia 19 tahun.  Dalam perspektif hukum, batasan ini bertujuan untuk menjamin kematangan biologis dan psikologis guna mencegah tingginya angka perceraian dan risiko kesehatan pada ibu dan anak. Pelanggaran terhadap batasan usia ini memerlukan Dispensasi Nikah dari Pengadilan Agama (bagi Muslim) atau Pengadilan Negeri (bagi non-Muslim) dengan alasan mendesak.</w:t>
      </w:r>
    </w:p>
    <w:p w:rsidR="00654375" w:rsidRPr="001A15FF" w:rsidRDefault="00654375" w:rsidP="00654375">
      <w:pPr>
        <w:pStyle w:val="ListParagraph"/>
        <w:numPr>
          <w:ilvl w:val="0"/>
          <w:numId w:val="46"/>
        </w:numPr>
        <w:spacing w:line="360" w:lineRule="auto"/>
        <w:ind w:left="567" w:hanging="283"/>
        <w:jc w:val="both"/>
        <w:rPr>
          <w:rFonts w:ascii="Times New Roman" w:hAnsi="Times New Roman" w:cs="Times New Roman"/>
          <w:sz w:val="22"/>
          <w:szCs w:val="22"/>
        </w:rPr>
      </w:pPr>
      <w:r w:rsidRPr="001A15FF">
        <w:rPr>
          <w:rFonts w:ascii="Times New Roman" w:hAnsi="Times New Roman" w:cs="Times New Roman"/>
          <w:sz w:val="22"/>
          <w:szCs w:val="22"/>
        </w:rPr>
        <w:t xml:space="preserve">Persetujuan Bebas </w:t>
      </w:r>
      <w:r w:rsidRPr="001A15FF">
        <w:rPr>
          <w:rFonts w:ascii="Times New Roman" w:hAnsi="Times New Roman" w:cs="Times New Roman"/>
          <w:i/>
          <w:iCs/>
          <w:sz w:val="22"/>
          <w:szCs w:val="22"/>
        </w:rPr>
        <w:t>(Consensual Principle)</w:t>
      </w:r>
      <w:r w:rsidRPr="001A15FF">
        <w:rPr>
          <w:rFonts w:ascii="Times New Roman" w:hAnsi="Times New Roman" w:cs="Times New Roman"/>
          <w:sz w:val="22"/>
          <w:szCs w:val="22"/>
        </w:rPr>
        <w:t xml:space="preserve"> sesuai dengan Pasal 6 UU Perkawinan, perkawinan harus didasarkan atas persetujuan kedua calon mempelai tanpa adanya paksaan </w:t>
      </w:r>
      <w:r w:rsidRPr="001A15FF">
        <w:rPr>
          <w:rFonts w:ascii="Times New Roman" w:hAnsi="Times New Roman" w:cs="Times New Roman"/>
          <w:i/>
          <w:iCs/>
          <w:sz w:val="22"/>
          <w:szCs w:val="22"/>
        </w:rPr>
        <w:t xml:space="preserve">(undue influence). </w:t>
      </w:r>
      <w:r w:rsidRPr="001A15FF">
        <w:rPr>
          <w:rFonts w:ascii="Times New Roman" w:hAnsi="Times New Roman" w:cs="Times New Roman"/>
          <w:sz w:val="22"/>
          <w:szCs w:val="22"/>
        </w:rPr>
        <w:t>Dalam unsur ini merupakan manifestasi dari hak asasi manusia dan otonomi individu untuk membentuk keluarga, yang menjadi syarat mutlak keabsahan sebuah perjanjian perkawinan di bawah hukum perdata.</w:t>
      </w:r>
    </w:p>
    <w:p w:rsidR="00654375" w:rsidRPr="001A15FF" w:rsidRDefault="00654375" w:rsidP="00654375">
      <w:pPr>
        <w:pStyle w:val="ListParagraph"/>
        <w:numPr>
          <w:ilvl w:val="0"/>
          <w:numId w:val="46"/>
        </w:numPr>
        <w:spacing w:line="360" w:lineRule="auto"/>
        <w:ind w:left="567" w:hanging="283"/>
        <w:jc w:val="both"/>
        <w:rPr>
          <w:rFonts w:ascii="Times New Roman" w:hAnsi="Times New Roman" w:cs="Times New Roman"/>
          <w:sz w:val="22"/>
          <w:szCs w:val="22"/>
        </w:rPr>
      </w:pPr>
      <w:r w:rsidRPr="001A15FF">
        <w:rPr>
          <w:rFonts w:ascii="Times New Roman" w:hAnsi="Times New Roman" w:cs="Times New Roman"/>
          <w:sz w:val="22"/>
          <w:szCs w:val="22"/>
        </w:rPr>
        <w:t xml:space="preserve">Larangan Perkawinan </w:t>
      </w:r>
      <w:r w:rsidRPr="001A15FF">
        <w:rPr>
          <w:rFonts w:ascii="Times New Roman" w:hAnsi="Times New Roman" w:cs="Times New Roman"/>
          <w:i/>
          <w:iCs/>
          <w:sz w:val="22"/>
          <w:szCs w:val="22"/>
        </w:rPr>
        <w:t>(Impediments to Marriage)</w:t>
      </w:r>
      <w:r w:rsidRPr="001A15FF">
        <w:rPr>
          <w:rFonts w:ascii="Times New Roman" w:hAnsi="Times New Roman" w:cs="Times New Roman"/>
          <w:sz w:val="22"/>
          <w:szCs w:val="22"/>
        </w:rPr>
        <w:t xml:space="preserve"> Warga Negara Indonesia wajib dipastikan tidak berada dalam hubungan yang dilarang oleh undang-undang, yang mencakup seperti :</w:t>
      </w:r>
    </w:p>
    <w:p w:rsidR="00654375" w:rsidRPr="001A15FF" w:rsidRDefault="00654375" w:rsidP="00654375">
      <w:pPr>
        <w:pStyle w:val="ListParagraph"/>
        <w:numPr>
          <w:ilvl w:val="1"/>
          <w:numId w:val="47"/>
        </w:numPr>
        <w:tabs>
          <w:tab w:val="clear" w:pos="1440"/>
        </w:tabs>
        <w:spacing w:line="360" w:lineRule="auto"/>
        <w:ind w:left="1134" w:hanging="283"/>
        <w:jc w:val="both"/>
        <w:rPr>
          <w:rFonts w:ascii="Times New Roman" w:hAnsi="Times New Roman" w:cs="Times New Roman"/>
          <w:sz w:val="22"/>
          <w:szCs w:val="22"/>
        </w:rPr>
      </w:pPr>
      <w:r w:rsidRPr="001A15FF">
        <w:rPr>
          <w:rFonts w:ascii="Times New Roman" w:hAnsi="Times New Roman" w:cs="Times New Roman"/>
          <w:sz w:val="22"/>
          <w:szCs w:val="22"/>
        </w:rPr>
        <w:t xml:space="preserve">Hubungan Darah </w:t>
      </w:r>
      <w:r w:rsidRPr="001A15FF">
        <w:rPr>
          <w:rFonts w:ascii="Times New Roman" w:hAnsi="Times New Roman" w:cs="Times New Roman"/>
          <w:i/>
          <w:iCs/>
          <w:sz w:val="22"/>
          <w:szCs w:val="22"/>
        </w:rPr>
        <w:t>(Consanguinity)</w:t>
      </w:r>
      <w:r w:rsidRPr="001A15FF">
        <w:rPr>
          <w:rFonts w:ascii="Times New Roman" w:hAnsi="Times New Roman" w:cs="Times New Roman"/>
          <w:sz w:val="22"/>
          <w:szCs w:val="22"/>
        </w:rPr>
        <w:t xml:space="preserve"> yang mana baik dalam garis keturunan lurus ke bawah/atas maupun garis menyamping.</w:t>
      </w:r>
    </w:p>
    <w:p w:rsidR="00654375" w:rsidRPr="001A15FF" w:rsidRDefault="00654375" w:rsidP="00654375">
      <w:pPr>
        <w:pStyle w:val="ListParagraph"/>
        <w:numPr>
          <w:ilvl w:val="1"/>
          <w:numId w:val="47"/>
        </w:numPr>
        <w:tabs>
          <w:tab w:val="clear" w:pos="1440"/>
        </w:tabs>
        <w:spacing w:line="360" w:lineRule="auto"/>
        <w:ind w:left="1134" w:hanging="283"/>
        <w:jc w:val="both"/>
        <w:rPr>
          <w:rFonts w:ascii="Times New Roman" w:hAnsi="Times New Roman" w:cs="Times New Roman"/>
          <w:sz w:val="22"/>
          <w:szCs w:val="22"/>
        </w:rPr>
      </w:pPr>
      <w:r w:rsidRPr="001A15FF">
        <w:rPr>
          <w:rFonts w:ascii="Times New Roman" w:hAnsi="Times New Roman" w:cs="Times New Roman"/>
          <w:sz w:val="22"/>
          <w:szCs w:val="22"/>
        </w:rPr>
        <w:t xml:space="preserve">Hubungan Semenda </w:t>
      </w:r>
      <w:r w:rsidRPr="001A15FF">
        <w:rPr>
          <w:rFonts w:ascii="Times New Roman" w:hAnsi="Times New Roman" w:cs="Times New Roman"/>
          <w:i/>
          <w:iCs/>
          <w:sz w:val="22"/>
          <w:szCs w:val="22"/>
        </w:rPr>
        <w:t>(Affinity)</w:t>
      </w:r>
      <w:r w:rsidRPr="001A15FF">
        <w:rPr>
          <w:rFonts w:ascii="Times New Roman" w:hAnsi="Times New Roman" w:cs="Times New Roman"/>
          <w:sz w:val="22"/>
          <w:szCs w:val="22"/>
        </w:rPr>
        <w:t xml:space="preserve"> yaitu seperti hubungan mertua atau anak tiri.</w:t>
      </w:r>
    </w:p>
    <w:p w:rsidR="00654375" w:rsidRPr="001A15FF" w:rsidRDefault="00654375" w:rsidP="00654375">
      <w:pPr>
        <w:pStyle w:val="ListParagraph"/>
        <w:numPr>
          <w:ilvl w:val="1"/>
          <w:numId w:val="47"/>
        </w:numPr>
        <w:tabs>
          <w:tab w:val="clear" w:pos="1440"/>
        </w:tabs>
        <w:spacing w:line="360" w:lineRule="auto"/>
        <w:ind w:left="1134" w:hanging="283"/>
        <w:jc w:val="both"/>
        <w:rPr>
          <w:rFonts w:ascii="Times New Roman" w:hAnsi="Times New Roman" w:cs="Times New Roman"/>
          <w:sz w:val="22"/>
          <w:szCs w:val="22"/>
        </w:rPr>
      </w:pPr>
      <w:r w:rsidRPr="001A15FF">
        <w:rPr>
          <w:rFonts w:ascii="Times New Roman" w:hAnsi="Times New Roman" w:cs="Times New Roman"/>
          <w:sz w:val="22"/>
          <w:szCs w:val="22"/>
        </w:rPr>
        <w:t>Hubungan Persusuan yang mana ini di khusus bagi umat Islam sesuai Pasal 8 huruf d</w:t>
      </w:r>
    </w:p>
    <w:p w:rsidR="00654375" w:rsidRPr="001A15FF" w:rsidRDefault="00654375" w:rsidP="00654375">
      <w:pPr>
        <w:pStyle w:val="ListParagraph"/>
        <w:numPr>
          <w:ilvl w:val="1"/>
          <w:numId w:val="47"/>
        </w:numPr>
        <w:tabs>
          <w:tab w:val="clear" w:pos="1440"/>
        </w:tabs>
        <w:spacing w:line="360" w:lineRule="auto"/>
        <w:ind w:left="1134" w:hanging="283"/>
        <w:jc w:val="both"/>
        <w:rPr>
          <w:rFonts w:ascii="Times New Roman" w:hAnsi="Times New Roman" w:cs="Times New Roman"/>
          <w:sz w:val="22"/>
          <w:szCs w:val="22"/>
        </w:rPr>
      </w:pPr>
      <w:r w:rsidRPr="001A15FF">
        <w:rPr>
          <w:rFonts w:ascii="Times New Roman" w:hAnsi="Times New Roman" w:cs="Times New Roman"/>
          <w:sz w:val="22"/>
          <w:szCs w:val="22"/>
        </w:rPr>
        <w:t>Hubungan Jabatan seperti larangan bagi mereka yang mempunyai hubungan yang oleh agamanya atau peraturan lain yang berlaku dilarang kawin.</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Kegagalan WNI dalam memenuhi salah satu syarat materiil di atas mengakibatkan perkawinan tersebut dapat dibatalkan (</w:t>
      </w:r>
      <w:r w:rsidRPr="001A15FF">
        <w:rPr>
          <w:rFonts w:ascii="Times New Roman" w:hAnsi="Times New Roman" w:cs="Times New Roman"/>
          <w:i/>
          <w:iCs/>
          <w:sz w:val="22"/>
          <w:szCs w:val="22"/>
        </w:rPr>
        <w:t>voidable</w:t>
      </w:r>
      <w:r w:rsidRPr="001A15FF">
        <w:rPr>
          <w:rFonts w:ascii="Times New Roman" w:hAnsi="Times New Roman" w:cs="Times New Roman"/>
          <w:sz w:val="22"/>
          <w:szCs w:val="22"/>
        </w:rPr>
        <w:t>) atau batal demi hukum (</w:t>
      </w:r>
      <w:r w:rsidRPr="001A15FF">
        <w:rPr>
          <w:rFonts w:ascii="Times New Roman" w:hAnsi="Times New Roman" w:cs="Times New Roman"/>
          <w:i/>
          <w:iCs/>
          <w:sz w:val="22"/>
          <w:szCs w:val="22"/>
        </w:rPr>
        <w:t>void</w:t>
      </w:r>
      <w:r w:rsidRPr="001A15FF">
        <w:rPr>
          <w:rFonts w:ascii="Times New Roman" w:hAnsi="Times New Roman" w:cs="Times New Roman"/>
          <w:sz w:val="22"/>
          <w:szCs w:val="22"/>
        </w:rPr>
        <w:t>). Dalam perkawinan campuran, ketidakpatuhan WNI terhadap hukum nasionalnya sendiri dapat menyebabkan hambatan dalam penerbitan Surat Keterangan (Pasal 60), sehingga perkawinan tersebut tidak dapat dicatatkan secara resmi oleh negara.</w:t>
      </w:r>
    </w:p>
    <w:p w:rsidR="00654375" w:rsidRPr="001A15FF" w:rsidRDefault="00654375" w:rsidP="00654375">
      <w:pPr>
        <w:pStyle w:val="ListParagraph"/>
        <w:numPr>
          <w:ilvl w:val="0"/>
          <w:numId w:val="22"/>
        </w:numPr>
        <w:spacing w:line="360" w:lineRule="auto"/>
        <w:ind w:left="284" w:hanging="284"/>
        <w:jc w:val="both"/>
        <w:rPr>
          <w:rFonts w:ascii="Times New Roman" w:hAnsi="Times New Roman" w:cs="Times New Roman"/>
          <w:sz w:val="22"/>
          <w:szCs w:val="22"/>
        </w:rPr>
      </w:pPr>
      <w:r w:rsidRPr="001A15FF">
        <w:rPr>
          <w:rFonts w:ascii="Times New Roman" w:hAnsi="Times New Roman" w:cs="Times New Roman"/>
          <w:sz w:val="22"/>
          <w:szCs w:val="22"/>
        </w:rPr>
        <w:t xml:space="preserve">Warga Negara Asing (WNA) Harus memenuhi syarat materiil menurut hukum negara asalnya. </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 xml:space="preserve">Hal ini biasanya dibuktikan dengan adanya Surat Keterangan </w:t>
      </w:r>
      <w:r w:rsidRPr="001A15FF">
        <w:rPr>
          <w:rFonts w:ascii="Times New Roman" w:hAnsi="Times New Roman" w:cs="Times New Roman"/>
          <w:i/>
          <w:iCs/>
          <w:sz w:val="22"/>
          <w:szCs w:val="22"/>
        </w:rPr>
        <w:t>(Certificate of No Impediment)</w:t>
      </w:r>
      <w:r w:rsidRPr="001A15FF">
        <w:rPr>
          <w:rFonts w:ascii="Times New Roman" w:hAnsi="Times New Roman" w:cs="Times New Roman"/>
          <w:sz w:val="22"/>
          <w:szCs w:val="22"/>
        </w:rPr>
        <w:t xml:space="preserve"> dari instansi berwenang atau kedutaan besar negara asal yang menyatakan bahwa ia tidak terhalang untuk menikah. Dalam kerangka hukum perkawinan internasional di Indonesia, subjek hukum Warga Negara Asing (WNA) tunduk pada asas </w:t>
      </w:r>
      <w:r w:rsidRPr="001A15FF">
        <w:rPr>
          <w:rFonts w:ascii="Times New Roman" w:hAnsi="Times New Roman" w:cs="Times New Roman"/>
          <w:i/>
          <w:iCs/>
          <w:sz w:val="22"/>
          <w:szCs w:val="22"/>
        </w:rPr>
        <w:t>Lex Patriae,</w:t>
      </w:r>
      <w:r w:rsidRPr="001A15FF">
        <w:rPr>
          <w:rFonts w:ascii="Times New Roman" w:hAnsi="Times New Roman" w:cs="Times New Roman"/>
          <w:sz w:val="22"/>
          <w:szCs w:val="22"/>
        </w:rPr>
        <w:t xml:space="preserve"> yaitu asas yang menyatakan bahwa status personal seseorang ditentukan oleh hukum kewarganegaraannya. Dalam hal ini peneliti menguraikan mekanisme pembuktian syarat materiil WNA sebagai berikut:</w:t>
      </w:r>
    </w:p>
    <w:p w:rsidR="00654375" w:rsidRPr="001A15FF" w:rsidRDefault="00654375" w:rsidP="00654375">
      <w:pPr>
        <w:pStyle w:val="ListParagraph"/>
        <w:numPr>
          <w:ilvl w:val="0"/>
          <w:numId w:val="35"/>
        </w:numPr>
        <w:spacing w:line="360" w:lineRule="auto"/>
        <w:ind w:left="567" w:hanging="283"/>
        <w:jc w:val="both"/>
        <w:rPr>
          <w:rFonts w:ascii="Times New Roman" w:hAnsi="Times New Roman" w:cs="Times New Roman"/>
          <w:sz w:val="22"/>
          <w:szCs w:val="22"/>
        </w:rPr>
      </w:pPr>
      <w:r w:rsidRPr="001A15FF">
        <w:rPr>
          <w:rFonts w:ascii="Times New Roman" w:hAnsi="Times New Roman" w:cs="Times New Roman"/>
          <w:sz w:val="22"/>
          <w:szCs w:val="22"/>
        </w:rPr>
        <w:t>Kedudukan Syarat Materiil dalam Hukum Nasional Warga Negara Asing</w:t>
      </w:r>
    </w:p>
    <w:p w:rsidR="00654375" w:rsidRPr="001A15FF" w:rsidRDefault="00654375" w:rsidP="00654375">
      <w:pPr>
        <w:spacing w:line="360" w:lineRule="auto"/>
        <w:ind w:left="567" w:firstLine="567"/>
        <w:jc w:val="both"/>
        <w:rPr>
          <w:rFonts w:ascii="Times New Roman" w:hAnsi="Times New Roman" w:cs="Times New Roman"/>
          <w:sz w:val="22"/>
          <w:szCs w:val="22"/>
        </w:rPr>
      </w:pPr>
      <w:r w:rsidRPr="001A15FF">
        <w:rPr>
          <w:rFonts w:ascii="Times New Roman" w:hAnsi="Times New Roman" w:cs="Times New Roman"/>
          <w:sz w:val="22"/>
          <w:szCs w:val="22"/>
        </w:rPr>
        <w:t>Berdasarkan Pasal 60 ayat (1) UU No. 1 Tahun 1974, setiap WNA yang hendak melangsungkan perkawinan di Indonesia wajib membuktikan bahwa ia telah memenuhi syarat-syarat materiil menurut hukum negara asalnya. Syarat ini meliputi:</w:t>
      </w:r>
    </w:p>
    <w:p w:rsidR="00654375" w:rsidRPr="001A15FF" w:rsidRDefault="00654375" w:rsidP="00654375">
      <w:pPr>
        <w:pStyle w:val="ListParagraph"/>
        <w:numPr>
          <w:ilvl w:val="0"/>
          <w:numId w:val="36"/>
        </w:numPr>
        <w:spacing w:line="360" w:lineRule="auto"/>
        <w:ind w:left="851" w:hanging="284"/>
        <w:jc w:val="both"/>
        <w:rPr>
          <w:rFonts w:ascii="Times New Roman" w:hAnsi="Times New Roman" w:cs="Times New Roman"/>
          <w:sz w:val="22"/>
          <w:szCs w:val="22"/>
        </w:rPr>
      </w:pPr>
      <w:r w:rsidRPr="001A15FF">
        <w:rPr>
          <w:rFonts w:ascii="Times New Roman" w:hAnsi="Times New Roman" w:cs="Times New Roman"/>
          <w:sz w:val="22"/>
          <w:szCs w:val="22"/>
        </w:rPr>
        <w:t>Status Perkawinan sebagai bukti bahwa yang bersangkutan tidak sedang dalam ikatan perkawinan yang sah (lajang, cerai mati, atau cerai hidup).</w:t>
      </w:r>
    </w:p>
    <w:p w:rsidR="00654375" w:rsidRPr="001A15FF" w:rsidRDefault="00654375" w:rsidP="00654375">
      <w:pPr>
        <w:pStyle w:val="ListParagraph"/>
        <w:numPr>
          <w:ilvl w:val="0"/>
          <w:numId w:val="36"/>
        </w:numPr>
        <w:spacing w:line="360" w:lineRule="auto"/>
        <w:ind w:left="851" w:hanging="284"/>
        <w:jc w:val="both"/>
        <w:rPr>
          <w:rFonts w:ascii="Times New Roman" w:hAnsi="Times New Roman" w:cs="Times New Roman"/>
          <w:sz w:val="22"/>
          <w:szCs w:val="22"/>
        </w:rPr>
      </w:pPr>
      <w:r w:rsidRPr="001A15FF">
        <w:rPr>
          <w:rFonts w:ascii="Times New Roman" w:hAnsi="Times New Roman" w:cs="Times New Roman"/>
          <w:sz w:val="22"/>
          <w:szCs w:val="22"/>
        </w:rPr>
        <w:t>Kecakapan Hukum yaitu batas usia minimal dan izin-izin khusus yang disyaratkan oleh otoritas negara asal.</w:t>
      </w:r>
    </w:p>
    <w:p w:rsidR="00654375" w:rsidRPr="001A15FF" w:rsidRDefault="00654375" w:rsidP="00654375">
      <w:pPr>
        <w:pStyle w:val="ListParagraph"/>
        <w:numPr>
          <w:ilvl w:val="0"/>
          <w:numId w:val="36"/>
        </w:numPr>
        <w:spacing w:line="360" w:lineRule="auto"/>
        <w:ind w:left="851" w:hanging="284"/>
        <w:jc w:val="both"/>
        <w:rPr>
          <w:rFonts w:ascii="Times New Roman" w:hAnsi="Times New Roman" w:cs="Times New Roman"/>
          <w:sz w:val="22"/>
          <w:szCs w:val="22"/>
        </w:rPr>
      </w:pPr>
      <w:r w:rsidRPr="001A15FF">
        <w:rPr>
          <w:rFonts w:ascii="Times New Roman" w:hAnsi="Times New Roman" w:cs="Times New Roman"/>
          <w:sz w:val="22"/>
          <w:szCs w:val="22"/>
        </w:rPr>
        <w:t>Ketiadaan Halangan seperti tidak adanya hambatan hukum baik karena hubungan darah maupun ketentuan legal-formal lainnya di negara asal.</w:t>
      </w:r>
    </w:p>
    <w:p w:rsidR="00654375" w:rsidRPr="001A15FF" w:rsidRDefault="00654375" w:rsidP="00654375">
      <w:pPr>
        <w:pStyle w:val="ListParagraph"/>
        <w:numPr>
          <w:ilvl w:val="0"/>
          <w:numId w:val="35"/>
        </w:numPr>
        <w:spacing w:line="360" w:lineRule="auto"/>
        <w:ind w:left="567" w:hanging="283"/>
        <w:jc w:val="both"/>
        <w:rPr>
          <w:rFonts w:ascii="Times New Roman" w:hAnsi="Times New Roman" w:cs="Times New Roman"/>
          <w:sz w:val="22"/>
          <w:szCs w:val="22"/>
        </w:rPr>
      </w:pPr>
      <w:r w:rsidRPr="001A15FF">
        <w:rPr>
          <w:rFonts w:ascii="Times New Roman" w:hAnsi="Times New Roman" w:cs="Times New Roman"/>
          <w:sz w:val="22"/>
          <w:szCs w:val="22"/>
        </w:rPr>
        <w:t xml:space="preserve">Instrumen Pembuktian </w:t>
      </w:r>
      <w:r w:rsidRPr="001A15FF">
        <w:rPr>
          <w:rFonts w:ascii="Times New Roman" w:hAnsi="Times New Roman" w:cs="Times New Roman"/>
          <w:i/>
          <w:iCs/>
          <w:sz w:val="22"/>
          <w:szCs w:val="22"/>
        </w:rPr>
        <w:t>Certificate of No Impediment (CNI)</w:t>
      </w:r>
    </w:p>
    <w:p w:rsidR="00654375" w:rsidRPr="001A15FF" w:rsidRDefault="00654375" w:rsidP="00654375">
      <w:pPr>
        <w:spacing w:line="360" w:lineRule="auto"/>
        <w:ind w:left="567" w:firstLine="567"/>
        <w:jc w:val="both"/>
        <w:rPr>
          <w:rFonts w:ascii="Times New Roman" w:hAnsi="Times New Roman" w:cs="Times New Roman"/>
          <w:sz w:val="22"/>
          <w:szCs w:val="22"/>
        </w:rPr>
      </w:pPr>
      <w:r w:rsidRPr="001A15FF">
        <w:rPr>
          <w:rFonts w:ascii="Times New Roman" w:hAnsi="Times New Roman" w:cs="Times New Roman"/>
          <w:sz w:val="22"/>
          <w:szCs w:val="22"/>
        </w:rPr>
        <w:t xml:space="preserve">Instrumen utama dalam pemenuhan syarat ini adalah Surat Keterangan </w:t>
      </w:r>
      <w:r w:rsidRPr="001A15FF">
        <w:rPr>
          <w:rFonts w:ascii="Times New Roman" w:hAnsi="Times New Roman" w:cs="Times New Roman"/>
          <w:i/>
          <w:iCs/>
          <w:sz w:val="22"/>
          <w:szCs w:val="22"/>
        </w:rPr>
        <w:t>(Certificate of No Impediment/CNI)</w:t>
      </w:r>
      <w:r w:rsidRPr="001A15FF">
        <w:rPr>
          <w:rFonts w:ascii="Times New Roman" w:hAnsi="Times New Roman" w:cs="Times New Roman"/>
          <w:sz w:val="22"/>
          <w:szCs w:val="22"/>
        </w:rPr>
        <w:t xml:space="preserve"> atau sering disebut dengan Surat Keterangan Melangsungkan Perkawinan. Secara yuridis, CNI berfungsi sebagai berikut :</w:t>
      </w:r>
    </w:p>
    <w:p w:rsidR="00654375" w:rsidRPr="001A15FF" w:rsidRDefault="00654375" w:rsidP="00654375">
      <w:pPr>
        <w:pStyle w:val="ListParagraph"/>
        <w:numPr>
          <w:ilvl w:val="0"/>
          <w:numId w:val="37"/>
        </w:numPr>
        <w:spacing w:line="360" w:lineRule="auto"/>
        <w:ind w:left="851" w:hanging="284"/>
        <w:jc w:val="both"/>
        <w:rPr>
          <w:rFonts w:ascii="Times New Roman" w:hAnsi="Times New Roman" w:cs="Times New Roman"/>
          <w:sz w:val="22"/>
          <w:szCs w:val="22"/>
        </w:rPr>
      </w:pPr>
      <w:r w:rsidRPr="001A15FF">
        <w:rPr>
          <w:rFonts w:ascii="Times New Roman" w:hAnsi="Times New Roman" w:cs="Times New Roman"/>
          <w:sz w:val="22"/>
          <w:szCs w:val="22"/>
        </w:rPr>
        <w:t>Alat Bukti Otentik yaitu dokumen resmi yang diterbitkan oleh instansi berwenang (seperti Dinas Catatan Sipil) atau Perwakilan Diplomatik (Kedutaan Besar/Konsulat Jenderal) negara asal WNA di Indonesia.</w:t>
      </w:r>
    </w:p>
    <w:p w:rsidR="00654375" w:rsidRPr="001A15FF" w:rsidRDefault="00654375" w:rsidP="00654375">
      <w:pPr>
        <w:pStyle w:val="ListParagraph"/>
        <w:numPr>
          <w:ilvl w:val="0"/>
          <w:numId w:val="37"/>
        </w:numPr>
        <w:spacing w:line="360" w:lineRule="auto"/>
        <w:ind w:left="851" w:hanging="284"/>
        <w:jc w:val="both"/>
        <w:rPr>
          <w:rFonts w:ascii="Times New Roman" w:hAnsi="Times New Roman" w:cs="Times New Roman"/>
          <w:sz w:val="22"/>
          <w:szCs w:val="22"/>
        </w:rPr>
      </w:pPr>
      <w:r w:rsidRPr="001A15FF">
        <w:rPr>
          <w:rFonts w:ascii="Times New Roman" w:hAnsi="Times New Roman" w:cs="Times New Roman"/>
          <w:sz w:val="22"/>
          <w:szCs w:val="22"/>
        </w:rPr>
        <w:t>Legitimasi Administratif yaitu dokumen ini merupakan syarat mutlak bagi Pejabat Pencatat Sipil (KUA atau Dinas Dukcapil) di Indonesia untuk memberikan izin pengumuman perkawinan dan pencatatan akta perkawinan.</w:t>
      </w:r>
    </w:p>
    <w:p w:rsidR="00654375" w:rsidRPr="001A15FF" w:rsidRDefault="00654375" w:rsidP="00654375">
      <w:pPr>
        <w:pStyle w:val="ListParagraph"/>
        <w:numPr>
          <w:ilvl w:val="0"/>
          <w:numId w:val="35"/>
        </w:numPr>
        <w:spacing w:line="360" w:lineRule="auto"/>
        <w:jc w:val="both"/>
        <w:rPr>
          <w:rFonts w:ascii="Times New Roman" w:hAnsi="Times New Roman" w:cs="Times New Roman"/>
          <w:sz w:val="22"/>
          <w:szCs w:val="22"/>
        </w:rPr>
      </w:pPr>
      <w:r w:rsidRPr="001A15FF">
        <w:rPr>
          <w:rFonts w:ascii="Times New Roman" w:hAnsi="Times New Roman" w:cs="Times New Roman"/>
          <w:sz w:val="22"/>
          <w:szCs w:val="22"/>
        </w:rPr>
        <w:t xml:space="preserve">  Prosedur Verifikasi Dokumen Asing</w:t>
      </w:r>
    </w:p>
    <w:p w:rsidR="00654375" w:rsidRPr="001A15FF" w:rsidRDefault="00654375" w:rsidP="00654375">
      <w:pPr>
        <w:spacing w:line="360" w:lineRule="auto"/>
        <w:ind w:left="567" w:firstLine="567"/>
        <w:jc w:val="both"/>
        <w:rPr>
          <w:rFonts w:ascii="Times New Roman" w:hAnsi="Times New Roman" w:cs="Times New Roman"/>
          <w:sz w:val="22"/>
          <w:szCs w:val="22"/>
        </w:rPr>
      </w:pPr>
      <w:r w:rsidRPr="001A15FF">
        <w:rPr>
          <w:rFonts w:ascii="Times New Roman" w:hAnsi="Times New Roman" w:cs="Times New Roman"/>
          <w:sz w:val="22"/>
          <w:szCs w:val="22"/>
        </w:rPr>
        <w:t xml:space="preserve">Dokumen CNI yang diterbitkan di luar negeri harus melalui proses Legalisasi atau Apostille (sesuai dengan Peraturan Presiden No. 2 Tahun 2021 tentang Pengesahan </w:t>
      </w:r>
      <w:r w:rsidRPr="001A15FF">
        <w:rPr>
          <w:rFonts w:ascii="Times New Roman" w:hAnsi="Times New Roman" w:cs="Times New Roman"/>
          <w:i/>
          <w:iCs/>
          <w:sz w:val="22"/>
          <w:szCs w:val="22"/>
        </w:rPr>
        <w:t>Convention Abolishing the Requirement of Legalisation for Foreign Public Documents</w:t>
      </w:r>
      <w:r w:rsidRPr="001A15FF">
        <w:rPr>
          <w:rFonts w:ascii="Times New Roman" w:hAnsi="Times New Roman" w:cs="Times New Roman"/>
          <w:sz w:val="22"/>
          <w:szCs w:val="22"/>
        </w:rPr>
        <w:t>) untuk diakui keabsahannya di wilayah hukum Indonesia. Dokumen tersebut juga wajib diterjemahkan ke dalam Bahasa Indonesia oleh Penerjemah Tersumpah (</w:t>
      </w:r>
      <w:r w:rsidRPr="001A15FF">
        <w:rPr>
          <w:rFonts w:ascii="Times New Roman" w:hAnsi="Times New Roman" w:cs="Times New Roman"/>
          <w:i/>
          <w:iCs/>
          <w:sz w:val="22"/>
          <w:szCs w:val="22"/>
        </w:rPr>
        <w:t>Sworn Translator</w:t>
      </w:r>
      <w:r w:rsidRPr="001A15FF">
        <w:rPr>
          <w:rFonts w:ascii="Times New Roman" w:hAnsi="Times New Roman" w:cs="Times New Roman"/>
          <w:sz w:val="22"/>
          <w:szCs w:val="22"/>
        </w:rPr>
        <w:t>). Apabila WNA tidak dapat menyertakan CNI atau dokumen pengganti yang sah, maka secara yuridis:</w:t>
      </w:r>
    </w:p>
    <w:p w:rsidR="00654375" w:rsidRPr="001A15FF" w:rsidRDefault="00654375" w:rsidP="00654375">
      <w:pPr>
        <w:pStyle w:val="ListParagraph"/>
        <w:numPr>
          <w:ilvl w:val="0"/>
          <w:numId w:val="38"/>
        </w:numPr>
        <w:spacing w:line="360" w:lineRule="auto"/>
        <w:ind w:left="851" w:hanging="284"/>
        <w:jc w:val="both"/>
        <w:rPr>
          <w:rFonts w:ascii="Times New Roman" w:hAnsi="Times New Roman" w:cs="Times New Roman"/>
          <w:sz w:val="22"/>
          <w:szCs w:val="22"/>
        </w:rPr>
      </w:pPr>
      <w:r w:rsidRPr="001A15FF">
        <w:rPr>
          <w:rFonts w:ascii="Times New Roman" w:hAnsi="Times New Roman" w:cs="Times New Roman"/>
          <w:sz w:val="22"/>
          <w:szCs w:val="22"/>
        </w:rPr>
        <w:t>Hambatan Pencatatan yaitu pejabat Pencatat Perkawinan berkewajiban menolak pelaksanaan perkawinan sesuai amanat Pasal 61 ayat (1) UU Perkawinan.</w:t>
      </w:r>
    </w:p>
    <w:p w:rsidR="00654375" w:rsidRPr="001A15FF" w:rsidRDefault="00654375" w:rsidP="00654375">
      <w:pPr>
        <w:pStyle w:val="ListParagraph"/>
        <w:numPr>
          <w:ilvl w:val="0"/>
          <w:numId w:val="38"/>
        </w:numPr>
        <w:spacing w:line="360" w:lineRule="auto"/>
        <w:ind w:left="851" w:hanging="284"/>
        <w:jc w:val="both"/>
        <w:rPr>
          <w:rFonts w:ascii="Times New Roman" w:hAnsi="Times New Roman" w:cs="Times New Roman"/>
          <w:sz w:val="22"/>
          <w:szCs w:val="22"/>
        </w:rPr>
      </w:pPr>
      <w:r w:rsidRPr="001A15FF">
        <w:rPr>
          <w:rFonts w:ascii="Times New Roman" w:hAnsi="Times New Roman" w:cs="Times New Roman"/>
          <w:sz w:val="22"/>
          <w:szCs w:val="22"/>
        </w:rPr>
        <w:t>Ketidakpastian Status dalam perkawinan yang dipaksakan tanpa dokumen ini berisiko tidak diakui oleh negara asal WNA (</w:t>
      </w:r>
      <w:r w:rsidRPr="001A15FF">
        <w:rPr>
          <w:rFonts w:ascii="Times New Roman" w:hAnsi="Times New Roman" w:cs="Times New Roman"/>
          <w:i/>
          <w:iCs/>
          <w:sz w:val="22"/>
          <w:szCs w:val="22"/>
        </w:rPr>
        <w:t>non-recognition</w:t>
      </w:r>
      <w:r w:rsidRPr="001A15FF">
        <w:rPr>
          <w:rFonts w:ascii="Times New Roman" w:hAnsi="Times New Roman" w:cs="Times New Roman"/>
          <w:sz w:val="22"/>
          <w:szCs w:val="22"/>
        </w:rPr>
        <w:t>), yang akan menimbulkan kerumitan hukum di kemudian hari terkait hak waris, hak asuh anak, dan status kewarganegaraan</w:t>
      </w:r>
      <w:r w:rsidRPr="001A15FF">
        <w:rPr>
          <w:rFonts w:ascii="Times New Roman" w:hAnsi="Times New Roman" w:cs="Times New Roman"/>
          <w:b/>
          <w:bCs/>
          <w:sz w:val="22"/>
          <w:szCs w:val="22"/>
        </w:rPr>
        <w:t>.</w:t>
      </w:r>
    </w:p>
    <w:p w:rsidR="00654375" w:rsidRPr="001A15FF" w:rsidRDefault="00654375" w:rsidP="00654375">
      <w:pPr>
        <w:spacing w:line="360" w:lineRule="auto"/>
        <w:ind w:hanging="2"/>
        <w:jc w:val="both"/>
        <w:rPr>
          <w:rFonts w:ascii="Times New Roman" w:hAnsi="Times New Roman" w:cs="Times New Roman"/>
          <w:b/>
          <w:bCs/>
          <w:sz w:val="22"/>
          <w:szCs w:val="22"/>
        </w:rPr>
      </w:pPr>
      <w:r w:rsidRPr="001A15FF">
        <w:rPr>
          <w:rFonts w:ascii="Times New Roman" w:hAnsi="Times New Roman" w:cs="Times New Roman"/>
          <w:b/>
          <w:bCs/>
          <w:sz w:val="22"/>
          <w:szCs w:val="22"/>
        </w:rPr>
        <w:t>Legalitas dan Pencatatan</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 xml:space="preserve">Perkawinan campuran hanya dapat dilangsungkan setelah terbukti bahwa syarat-syarat telah terpenuhi. Pemberian Surat Keterangan sesuai Pasal 60, pejabat pencatat perkawinan (KUA bagi Muslim atau Kantor Catatan Sipil bagi Non-Muslim) akan memberikan surat keterangan bahwa semua syarat telah dipenuhi. </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Berdasarkan hasil penelitian terhadap alur birokrasi perkawinan campuran, Pasal 60 UU No. 1 Tahun 1974 menempatkan Pejabat Pencatat Perkawinan sebagai garda terdepan dalam memverifikasi legalitas perkawinan. Fungsi ini merupakan perwujudan dari asas kepastian hukum dalam hukum administrasi negara.</w:t>
      </w:r>
    </w:p>
    <w:p w:rsidR="00654375" w:rsidRPr="001A15FF" w:rsidRDefault="00654375" w:rsidP="00654375">
      <w:pPr>
        <w:pStyle w:val="ListParagraph"/>
        <w:numPr>
          <w:ilvl w:val="0"/>
          <w:numId w:val="39"/>
        </w:numPr>
        <w:spacing w:line="360" w:lineRule="auto"/>
        <w:jc w:val="both"/>
        <w:rPr>
          <w:rFonts w:ascii="Times New Roman" w:hAnsi="Times New Roman" w:cs="Times New Roman"/>
          <w:sz w:val="22"/>
          <w:szCs w:val="22"/>
        </w:rPr>
      </w:pPr>
      <w:r w:rsidRPr="001A15FF">
        <w:rPr>
          <w:rFonts w:ascii="Times New Roman" w:hAnsi="Times New Roman" w:cs="Times New Roman"/>
          <w:sz w:val="22"/>
          <w:szCs w:val="22"/>
        </w:rPr>
        <w:t>Kewenangan Absolut Pejabat Pencatat</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Penelitian ini mengidentifikasi pembagian wewenang pencatatan berdasarkan afiliasi religi para pihak, sesuai dengan sistem hukum ganda (</w:t>
      </w:r>
      <w:r w:rsidRPr="001A15FF">
        <w:rPr>
          <w:rFonts w:ascii="Times New Roman" w:hAnsi="Times New Roman" w:cs="Times New Roman"/>
          <w:i/>
          <w:iCs/>
          <w:sz w:val="22"/>
          <w:szCs w:val="22"/>
        </w:rPr>
        <w:t>dual system</w:t>
      </w:r>
      <w:r w:rsidRPr="001A15FF">
        <w:rPr>
          <w:rFonts w:ascii="Times New Roman" w:hAnsi="Times New Roman" w:cs="Times New Roman"/>
          <w:sz w:val="22"/>
          <w:szCs w:val="22"/>
        </w:rPr>
        <w:t>) yang dianut Indonesia seperti Kantor Urusan Agama (KUA) yanga berwenang bagi mempelai yang beragama Islam dan Kantor Dinas Kependudukan dan Catatan Sipil (Dispendukcapil) yang berwenang bagi mempelai yang beragama non-Muslim (Kristen, Katolik, Hindu, Buddha, Khonghucu).</w:t>
      </w:r>
    </w:p>
    <w:p w:rsidR="00654375" w:rsidRPr="001A15FF" w:rsidRDefault="00654375" w:rsidP="00654375">
      <w:pPr>
        <w:pStyle w:val="ListParagraph"/>
        <w:numPr>
          <w:ilvl w:val="0"/>
          <w:numId w:val="39"/>
        </w:numPr>
        <w:spacing w:line="360" w:lineRule="auto"/>
        <w:jc w:val="both"/>
        <w:rPr>
          <w:rFonts w:ascii="Times New Roman" w:hAnsi="Times New Roman" w:cs="Times New Roman"/>
          <w:sz w:val="22"/>
          <w:szCs w:val="22"/>
        </w:rPr>
      </w:pPr>
      <w:r w:rsidRPr="001A15FF">
        <w:rPr>
          <w:rFonts w:ascii="Times New Roman" w:hAnsi="Times New Roman" w:cs="Times New Roman"/>
          <w:sz w:val="22"/>
          <w:szCs w:val="22"/>
        </w:rPr>
        <w:t xml:space="preserve"> Mekanisme Verifikasi dan Penerbitan Surat Keterangan</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Sesuai Pasal 60 ayat (1), sebelum perkawinan dilangsungkan, Pejabat Pencatat wajib melakukan pemeriksaan terhadap dokumen-dokumen materiil (seperti CNI bagi WNA dan syarat administratif bagi WNI). Hasil dari pemeriksaan ini adalah diterbitkannya Surat Keterangan yang menyatakan bahwa seluruh syarat-syarat yang ditentukan oleh hukum masing-masing pihak telah terpenuhi dan tidak ada rintangan atau halangan perkawinan menurut undang-undang.</w:t>
      </w:r>
    </w:p>
    <w:p w:rsidR="00654375" w:rsidRPr="001A15FF" w:rsidRDefault="00654375" w:rsidP="00654375">
      <w:pPr>
        <w:pStyle w:val="ListParagraph"/>
        <w:numPr>
          <w:ilvl w:val="0"/>
          <w:numId w:val="39"/>
        </w:numPr>
        <w:spacing w:line="360" w:lineRule="auto"/>
        <w:jc w:val="both"/>
        <w:rPr>
          <w:rFonts w:ascii="Times New Roman" w:hAnsi="Times New Roman" w:cs="Times New Roman"/>
          <w:sz w:val="22"/>
          <w:szCs w:val="22"/>
        </w:rPr>
      </w:pPr>
      <w:r w:rsidRPr="001A15FF">
        <w:rPr>
          <w:rFonts w:ascii="Times New Roman" w:hAnsi="Times New Roman" w:cs="Times New Roman"/>
          <w:sz w:val="22"/>
          <w:szCs w:val="22"/>
        </w:rPr>
        <w:t>Implikasi Yuridis Penolakan (Pasal 61)</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Apabila Pejabat Pencatat berpendapat bahwa syarat-syarat belum terpenuhi, ia wajib memberikan Penolakan Tertulis. Dalam perspektif perlindungan hak warga negara, UU Perkawinan memberikan upaya hukum bagi para pihak seperti Permohonan kepada Pengadilan yang berdasarkan Pasal 61 ayat (2), jika Pejabat Pencatat menolak memberikan surat keterangan, para pihak dapat memohon kepada Pengadilan (Pengadilan Agama atau Pengadilan Negeri) untuk mengeluarkan keputusan yang memerintahkan Pejabat Pencatat memberikan surat keterangan tersebut dan Putusan Pengadilan sebagai Pengganti diaman putusan pengadilan ini bersifat final dan mengikat bagi Pejabat Pencatat untuk melanjutkan proses perkawinan.</w:t>
      </w:r>
    </w:p>
    <w:p w:rsidR="00654375" w:rsidRPr="001A15FF" w:rsidRDefault="00654375" w:rsidP="00654375">
      <w:pPr>
        <w:pStyle w:val="ListParagraph"/>
        <w:numPr>
          <w:ilvl w:val="0"/>
          <w:numId w:val="39"/>
        </w:numPr>
        <w:spacing w:line="360" w:lineRule="auto"/>
        <w:jc w:val="both"/>
        <w:rPr>
          <w:rFonts w:ascii="Times New Roman" w:hAnsi="Times New Roman" w:cs="Times New Roman"/>
          <w:sz w:val="22"/>
          <w:szCs w:val="22"/>
        </w:rPr>
      </w:pPr>
      <w:r w:rsidRPr="001A15FF">
        <w:rPr>
          <w:rFonts w:ascii="Times New Roman" w:hAnsi="Times New Roman" w:cs="Times New Roman"/>
          <w:sz w:val="22"/>
          <w:szCs w:val="22"/>
        </w:rPr>
        <w:t>Fungsi Pengumuman (Pasal 62) Setelah surat keterangan diterbitkan, Pejabat Pencatat melakukan Pengumuman Perkawinan (</w:t>
      </w:r>
      <w:r w:rsidRPr="001A15FF">
        <w:rPr>
          <w:rFonts w:ascii="Times New Roman" w:hAnsi="Times New Roman" w:cs="Times New Roman"/>
          <w:i/>
          <w:iCs/>
          <w:sz w:val="22"/>
          <w:szCs w:val="22"/>
        </w:rPr>
        <w:t>Ondertrouw</w:t>
      </w:r>
      <w:r w:rsidRPr="001A15FF">
        <w:rPr>
          <w:rFonts w:ascii="Times New Roman" w:hAnsi="Times New Roman" w:cs="Times New Roman"/>
          <w:sz w:val="22"/>
          <w:szCs w:val="22"/>
        </w:rPr>
        <w:t xml:space="preserve">). </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Prosedur ini bertujuan untuk memberikan kesempatan bagi pihak ketiga yang merasa keberatan (misalnya karena masih adanya ikatan perkawinan yang belum putus) untuk mengajukan pencegahan perkawinan secara legal. Surat keterangan yang diterbitkan berdasarkan Pasal 60 bukanlah sekadar dokumen administratif biasa, melainkan akta autentik yang menjadi prasyarat mutlak (</w:t>
      </w:r>
      <w:r w:rsidRPr="001A15FF">
        <w:rPr>
          <w:rFonts w:ascii="Times New Roman" w:hAnsi="Times New Roman" w:cs="Times New Roman"/>
          <w:i/>
          <w:iCs/>
          <w:sz w:val="22"/>
          <w:szCs w:val="22"/>
        </w:rPr>
        <w:t>conditio sine qua non</w:t>
      </w:r>
      <w:r w:rsidRPr="001A15FF">
        <w:rPr>
          <w:rFonts w:ascii="Times New Roman" w:hAnsi="Times New Roman" w:cs="Times New Roman"/>
          <w:sz w:val="22"/>
          <w:szCs w:val="22"/>
        </w:rPr>
        <w:t xml:space="preserve">) bagi keabsahan perkawinan campuran di mata negara. Tanpa surat ini, perkawinan tersebut tidak dapat dicatatkan, sehingga tidak memiliki kekuatan hukum mengikat terhadap pihak ketiga maupun negara. Perkawinan tersebut wajib dicatatkan pada instansi yang berwenang di Indonesia. Jika dilakukan di luar negeri, pasangan wajib melaporkan dan mencatatkan bukti perkawinan tersebut di kantor catatan sipil di Indonesia dalam waktu 30 hari setelah kembali ke Indonesia. </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Pencatatan perkawinan dalam penelitian ini dikaji sebagai instrumen kepastian hukum (</w:t>
      </w:r>
      <w:r w:rsidRPr="001A15FF">
        <w:rPr>
          <w:rFonts w:ascii="Times New Roman" w:hAnsi="Times New Roman" w:cs="Times New Roman"/>
          <w:i/>
          <w:iCs/>
          <w:sz w:val="22"/>
          <w:szCs w:val="22"/>
        </w:rPr>
        <w:t>legal certainty</w:t>
      </w:r>
      <w:r w:rsidRPr="001A15FF">
        <w:rPr>
          <w:rFonts w:ascii="Times New Roman" w:hAnsi="Times New Roman" w:cs="Times New Roman"/>
          <w:sz w:val="22"/>
          <w:szCs w:val="22"/>
        </w:rPr>
        <w:t>). Tanpa pencatatan yang sah, sebuah perkawinan campuran hanya memiliki status sah secara agama/adat, namun tidak diakui sebagai peristiwa perdata oleh negara (</w:t>
      </w:r>
      <w:r w:rsidRPr="001A15FF">
        <w:rPr>
          <w:rFonts w:ascii="Times New Roman" w:hAnsi="Times New Roman" w:cs="Times New Roman"/>
          <w:i/>
          <w:iCs/>
          <w:sz w:val="22"/>
          <w:szCs w:val="22"/>
        </w:rPr>
        <w:t>non-existent in the eyes of the law</w:t>
      </w:r>
      <w:r w:rsidRPr="001A15FF">
        <w:rPr>
          <w:rFonts w:ascii="Times New Roman" w:hAnsi="Times New Roman" w:cs="Times New Roman"/>
          <w:sz w:val="22"/>
          <w:szCs w:val="22"/>
        </w:rPr>
        <w:t>).</w:t>
      </w:r>
    </w:p>
    <w:p w:rsidR="00654375" w:rsidRPr="00654375" w:rsidRDefault="00654375" w:rsidP="00654375">
      <w:pPr>
        <w:pStyle w:val="ListParagraph"/>
        <w:numPr>
          <w:ilvl w:val="0"/>
          <w:numId w:val="39"/>
        </w:numPr>
        <w:suppressAutoHyphens/>
        <w:spacing w:line="360" w:lineRule="auto"/>
        <w:ind w:left="284" w:hanging="286"/>
        <w:jc w:val="both"/>
        <w:textAlignment w:val="top"/>
        <w:outlineLvl w:val="0"/>
        <w:rPr>
          <w:rFonts w:ascii="Times New Roman" w:hAnsi="Times New Roman" w:cs="Times New Roman"/>
          <w:sz w:val="22"/>
          <w:szCs w:val="22"/>
        </w:rPr>
      </w:pPr>
      <w:r w:rsidRPr="00654375">
        <w:rPr>
          <w:rFonts w:ascii="Times New Roman" w:hAnsi="Times New Roman" w:cs="Times New Roman"/>
          <w:sz w:val="22"/>
          <w:szCs w:val="22"/>
        </w:rPr>
        <w:t>Perkawinan Campuran yang Dilangsungkan di Indonesia</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Berdasarkan Pasal 61 ayat (1) UU No. 1 Tahun 1974, perkawinan campuran yang dilakukan di wilayah hukum Indonesia wajib dicatatkan pada instansi yang berwenang segera setelah upacara keagamaan selesai.</w:t>
      </w:r>
    </w:p>
    <w:p w:rsidR="00654375" w:rsidRPr="001A15FF" w:rsidRDefault="00654375" w:rsidP="00654375">
      <w:pPr>
        <w:pStyle w:val="ListParagraph"/>
        <w:numPr>
          <w:ilvl w:val="1"/>
          <w:numId w:val="23"/>
        </w:numPr>
        <w:spacing w:line="360" w:lineRule="auto"/>
        <w:ind w:left="567" w:hanging="283"/>
        <w:jc w:val="both"/>
        <w:rPr>
          <w:rFonts w:ascii="Times New Roman" w:hAnsi="Times New Roman" w:cs="Times New Roman"/>
          <w:sz w:val="22"/>
          <w:szCs w:val="22"/>
        </w:rPr>
      </w:pPr>
      <w:r w:rsidRPr="001A15FF">
        <w:rPr>
          <w:rFonts w:ascii="Times New Roman" w:hAnsi="Times New Roman" w:cs="Times New Roman"/>
          <w:sz w:val="22"/>
          <w:szCs w:val="22"/>
        </w:rPr>
        <w:t>Asas Publisitas yang dimana pencatatan ini berfungsi sebagai pengumuman kepada masyarakat dan pihak ketiga mengenai perubahan status perdata para pihak.</w:t>
      </w:r>
    </w:p>
    <w:p w:rsidR="00654375" w:rsidRPr="001A15FF" w:rsidRDefault="00654375" w:rsidP="00654375">
      <w:pPr>
        <w:pStyle w:val="ListParagraph"/>
        <w:numPr>
          <w:ilvl w:val="1"/>
          <w:numId w:val="23"/>
        </w:numPr>
        <w:spacing w:line="360" w:lineRule="auto"/>
        <w:ind w:left="567" w:hanging="283"/>
        <w:jc w:val="both"/>
        <w:rPr>
          <w:rFonts w:ascii="Times New Roman" w:hAnsi="Times New Roman" w:cs="Times New Roman"/>
          <w:sz w:val="22"/>
          <w:szCs w:val="22"/>
        </w:rPr>
      </w:pPr>
      <w:r w:rsidRPr="001A15FF">
        <w:rPr>
          <w:rFonts w:ascii="Times New Roman" w:hAnsi="Times New Roman" w:cs="Times New Roman"/>
          <w:sz w:val="22"/>
          <w:szCs w:val="22"/>
        </w:rPr>
        <w:t>Output Yuridis yaitu penerbitan Akta Perkawinan (oleh Dispendukcapil) atau Buku Nikah (oleh KUA) yang menjadi bukti autentik adanya ikatan lahir batin antara suami dan istri.</w:t>
      </w:r>
    </w:p>
    <w:p w:rsidR="00654375" w:rsidRPr="00654375" w:rsidRDefault="00654375" w:rsidP="00654375">
      <w:pPr>
        <w:pStyle w:val="ListParagraph"/>
        <w:numPr>
          <w:ilvl w:val="0"/>
          <w:numId w:val="39"/>
        </w:numPr>
        <w:spacing w:line="360" w:lineRule="auto"/>
        <w:jc w:val="both"/>
        <w:rPr>
          <w:rFonts w:ascii="Times New Roman" w:hAnsi="Times New Roman" w:cs="Times New Roman"/>
          <w:sz w:val="22"/>
          <w:szCs w:val="22"/>
        </w:rPr>
      </w:pPr>
      <w:r w:rsidRPr="00654375">
        <w:rPr>
          <w:rFonts w:ascii="Times New Roman" w:hAnsi="Times New Roman" w:cs="Times New Roman"/>
          <w:sz w:val="22"/>
          <w:szCs w:val="22"/>
        </w:rPr>
        <w:t>Perkawinan Campuran yang Dilangsungkan di Luar Negeri (Pasal 56)</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Ini menyoroti ketentuan Pasal 56 UU Perkawinan yang mengatur bahwa perkawinan WNI di luar negeri adalah sah apabila dilakukan menurut hukum yang berlaku di negara tersebut, dengan syarat tidak melanggar ketentuan UU Perkawinan Indonesia. Namun, terdapat kewajiban administratif lanjutan seperti ;</w:t>
      </w:r>
    </w:p>
    <w:p w:rsidR="00654375" w:rsidRDefault="00654375" w:rsidP="00654375">
      <w:pPr>
        <w:pStyle w:val="ListParagraph"/>
        <w:numPr>
          <w:ilvl w:val="1"/>
          <w:numId w:val="39"/>
        </w:numPr>
        <w:spacing w:line="360" w:lineRule="auto"/>
        <w:ind w:left="567" w:hanging="283"/>
        <w:jc w:val="both"/>
        <w:rPr>
          <w:rFonts w:ascii="Times New Roman" w:hAnsi="Times New Roman" w:cs="Times New Roman"/>
          <w:sz w:val="22"/>
          <w:szCs w:val="22"/>
        </w:rPr>
      </w:pPr>
      <w:r w:rsidRPr="00654375">
        <w:rPr>
          <w:rFonts w:ascii="Times New Roman" w:hAnsi="Times New Roman" w:cs="Times New Roman"/>
          <w:sz w:val="22"/>
          <w:szCs w:val="22"/>
        </w:rPr>
        <w:t>Pelaporan di Perwakilan RI yaitu pasangan wajib melaporkan perkawinannya pada Kedutaan Besar Republik Indonesia (KBRI) atau Konsulat Jenderal (KJRI) di negara setempat untuk mendapatkan Surat Keterangan Lapor Diri.</w:t>
      </w:r>
    </w:p>
    <w:p w:rsidR="00654375" w:rsidRPr="00654375" w:rsidRDefault="00654375" w:rsidP="00654375">
      <w:pPr>
        <w:pStyle w:val="ListParagraph"/>
        <w:numPr>
          <w:ilvl w:val="1"/>
          <w:numId w:val="39"/>
        </w:numPr>
        <w:spacing w:line="360" w:lineRule="auto"/>
        <w:ind w:left="567" w:hanging="283"/>
        <w:jc w:val="both"/>
        <w:rPr>
          <w:rFonts w:ascii="Times New Roman" w:hAnsi="Times New Roman" w:cs="Times New Roman"/>
          <w:sz w:val="22"/>
          <w:szCs w:val="22"/>
        </w:rPr>
      </w:pPr>
      <w:r w:rsidRPr="00654375">
        <w:rPr>
          <w:rFonts w:ascii="Times New Roman" w:hAnsi="Times New Roman" w:cs="Times New Roman"/>
          <w:sz w:val="22"/>
          <w:szCs w:val="22"/>
        </w:rPr>
        <w:t>Kewajiban Registrasi di Indonesia yaitu sesuai dengan Pasal 56 ayat (2) UU Perkawinan jo. Pasal 37 ayat (4) UU No. 23 Tahun 2006 tentang Administrasi Kependudukan, bukti perkawinan luar negeri tersebut wajib didaftarkan di Kantor Catatan Sipil tempat tinggal WNI di Indonesia dalam waktu 30 (tiga puluh) hari sejak yang bersangkutan kembali ke wilayah Indonesia.</w:t>
      </w:r>
    </w:p>
    <w:p w:rsidR="00654375" w:rsidRPr="001A15FF" w:rsidRDefault="00654375" w:rsidP="00654375">
      <w:pPr>
        <w:spacing w:line="360" w:lineRule="auto"/>
        <w:ind w:hanging="2"/>
        <w:jc w:val="both"/>
        <w:rPr>
          <w:rFonts w:ascii="Times New Roman" w:hAnsi="Times New Roman" w:cs="Times New Roman"/>
          <w:sz w:val="22"/>
          <w:szCs w:val="22"/>
        </w:rPr>
      </w:pPr>
      <w:r>
        <w:rPr>
          <w:rFonts w:ascii="Times New Roman" w:hAnsi="Times New Roman" w:cs="Times New Roman"/>
          <w:sz w:val="22"/>
          <w:szCs w:val="22"/>
        </w:rPr>
        <w:t>7</w:t>
      </w:r>
      <w:r w:rsidRPr="001A15FF">
        <w:rPr>
          <w:rFonts w:ascii="Times New Roman" w:hAnsi="Times New Roman" w:cs="Times New Roman"/>
          <w:sz w:val="22"/>
          <w:szCs w:val="22"/>
        </w:rPr>
        <w:t>. Implikasi Keterlambatan atau Ketiadaan Pelaporan</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Dalam perspektif hukum administrasi, kelalaian dalam melaporkan perkawinan luar negeri dalam jangka waktu 30 hari berimplikasi pada :</w:t>
      </w:r>
    </w:p>
    <w:p w:rsidR="00654375" w:rsidRPr="001A15FF" w:rsidRDefault="00654375" w:rsidP="00654375">
      <w:pPr>
        <w:pStyle w:val="ListParagraph"/>
        <w:numPr>
          <w:ilvl w:val="0"/>
          <w:numId w:val="25"/>
        </w:numPr>
        <w:spacing w:line="360" w:lineRule="auto"/>
        <w:jc w:val="both"/>
        <w:rPr>
          <w:rFonts w:ascii="Times New Roman" w:hAnsi="Times New Roman" w:cs="Times New Roman"/>
          <w:sz w:val="22"/>
          <w:szCs w:val="22"/>
        </w:rPr>
      </w:pPr>
      <w:r w:rsidRPr="001A15FF">
        <w:rPr>
          <w:rFonts w:ascii="Times New Roman" w:hAnsi="Times New Roman" w:cs="Times New Roman"/>
          <w:sz w:val="22"/>
          <w:szCs w:val="22"/>
        </w:rPr>
        <w:t>Sanksi Administratif yaitu pengenaan denda administratif sesuai dengan peraturan daerah setempat.</w:t>
      </w:r>
    </w:p>
    <w:p w:rsidR="00654375" w:rsidRPr="001A15FF" w:rsidRDefault="00654375" w:rsidP="00654375">
      <w:pPr>
        <w:pStyle w:val="ListParagraph"/>
        <w:numPr>
          <w:ilvl w:val="0"/>
          <w:numId w:val="25"/>
        </w:numPr>
        <w:spacing w:line="360" w:lineRule="auto"/>
        <w:jc w:val="both"/>
        <w:rPr>
          <w:rFonts w:ascii="Times New Roman" w:hAnsi="Times New Roman" w:cs="Times New Roman"/>
          <w:sz w:val="22"/>
          <w:szCs w:val="22"/>
        </w:rPr>
      </w:pPr>
      <w:r w:rsidRPr="001A15FF">
        <w:rPr>
          <w:rFonts w:ascii="Times New Roman" w:hAnsi="Times New Roman" w:cs="Times New Roman"/>
          <w:sz w:val="22"/>
          <w:szCs w:val="22"/>
        </w:rPr>
        <w:t>Hambatan Keperdataan yaitu kesulitan dalam pengurusan dokumen kependudukan anak (Akta Kelahiran), pengurusan visa tinggal bagi pasangan WNA (</w:t>
      </w:r>
      <w:r w:rsidRPr="001A15FF">
        <w:rPr>
          <w:rFonts w:ascii="Times New Roman" w:hAnsi="Times New Roman" w:cs="Times New Roman"/>
          <w:i/>
          <w:iCs/>
          <w:sz w:val="22"/>
          <w:szCs w:val="22"/>
        </w:rPr>
        <w:t>Limited Stay Permit</w:t>
      </w:r>
      <w:r w:rsidRPr="001A15FF">
        <w:rPr>
          <w:rFonts w:ascii="Times New Roman" w:hAnsi="Times New Roman" w:cs="Times New Roman"/>
          <w:sz w:val="22"/>
          <w:szCs w:val="22"/>
        </w:rPr>
        <w:t>), serta validasi hak kewarisan dan harta bersama di Indonesia.</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Pencatatan perkawinan, terutama bagi yang dilakukan di luar negeri, merupakan tindakan hukum yang bersifat deklaratif namun sangat menentukan secara administratif. Jangka waktu 30 hari yang ditetapkan oleh undang-undang berfungsi sebagai batas limitatif untuk menjamin bahwa data kependudukan nasional tetap akurat dan sinkron dengan status perdata warga negaranya yang berada di luar negeri.</w:t>
      </w:r>
    </w:p>
    <w:p w:rsidR="00654375" w:rsidRPr="001A15FF" w:rsidRDefault="00654375" w:rsidP="00654375">
      <w:pPr>
        <w:spacing w:line="360" w:lineRule="auto"/>
        <w:ind w:hanging="2"/>
        <w:jc w:val="both"/>
        <w:rPr>
          <w:rFonts w:ascii="Times New Roman" w:hAnsi="Times New Roman" w:cs="Times New Roman"/>
          <w:b/>
          <w:bCs/>
          <w:sz w:val="22"/>
          <w:szCs w:val="22"/>
        </w:rPr>
      </w:pPr>
      <w:r w:rsidRPr="001A15FF">
        <w:rPr>
          <w:rFonts w:ascii="Times New Roman" w:hAnsi="Times New Roman" w:cs="Times New Roman"/>
          <w:b/>
          <w:bCs/>
          <w:sz w:val="22"/>
          <w:szCs w:val="22"/>
        </w:rPr>
        <w:t>Kedudukan Anak</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Anak yang lahir dari perkawinan campuran menurut UU No. 1 Tahun 1974 awalnya mengikuti kewarganegaraan ayah. Namun, hal ini telah diperbarui melalui UU No. 12 Tahun 2006 tentang Kewarganegaraan, di mana anak dari perkawinan campuran berhak atas Kewarganegaraan Ganda Terbatas hingga usia 18 tahun atau sebelum menikah. Ini mencatat adanya pergeseran paradigma hukum yang sangat signifikan terkait status kewarganegaraan anak, dari asas patriarkal murni menuju asas kewarganegaraan ganda terbatas.</w:t>
      </w:r>
    </w:p>
    <w:p w:rsidR="00654375" w:rsidRPr="001A15FF" w:rsidRDefault="00654375" w:rsidP="00654375">
      <w:pPr>
        <w:pStyle w:val="ListParagraph"/>
        <w:numPr>
          <w:ilvl w:val="0"/>
          <w:numId w:val="41"/>
        </w:numPr>
        <w:spacing w:line="360" w:lineRule="auto"/>
        <w:ind w:left="284" w:hanging="284"/>
        <w:jc w:val="both"/>
        <w:rPr>
          <w:rFonts w:ascii="Times New Roman" w:hAnsi="Times New Roman" w:cs="Times New Roman"/>
          <w:sz w:val="22"/>
          <w:szCs w:val="22"/>
        </w:rPr>
      </w:pPr>
      <w:r w:rsidRPr="001A15FF">
        <w:rPr>
          <w:rFonts w:ascii="Times New Roman" w:hAnsi="Times New Roman" w:cs="Times New Roman"/>
          <w:sz w:val="22"/>
          <w:szCs w:val="22"/>
        </w:rPr>
        <w:t>Asas Tunggal Patriarkal (UU No. 62 Tahun 1958)</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Pada saat UU No. 1 Tahun 1974 diundangkan, ketentuan mengenai kewarganegaraan masih merujuk pada UU No. 62 Tahun 1958. Berdasarkan UU tersebut, Indonesia menganut asas Kewarganegaraan Tunggal yang bersifat patriarkal, di mana anak hasil perkawinan campuran secara otomatis mengikuti kewarganegaraan ayahnya. Jika ayah adalah Warga Negara Asing (WNA), maka anak tersebut kehilangan haknya sebagai Warga Negara Indonesia (WNI). Hal ini sering kali menimbulkan diskriminasi hukum bagi ibu WNI dalam pengasuhan anak di wilayah Indonesia.</w:t>
      </w:r>
    </w:p>
    <w:p w:rsidR="00654375" w:rsidRPr="001A15FF" w:rsidRDefault="00654375" w:rsidP="00654375">
      <w:pPr>
        <w:pStyle w:val="ListParagraph"/>
        <w:numPr>
          <w:ilvl w:val="0"/>
          <w:numId w:val="41"/>
        </w:numPr>
        <w:spacing w:line="360" w:lineRule="auto"/>
        <w:ind w:left="284" w:hanging="284"/>
        <w:jc w:val="both"/>
        <w:rPr>
          <w:rFonts w:ascii="Times New Roman" w:hAnsi="Times New Roman" w:cs="Times New Roman"/>
          <w:sz w:val="22"/>
          <w:szCs w:val="22"/>
        </w:rPr>
      </w:pPr>
      <w:r w:rsidRPr="001A15FF">
        <w:rPr>
          <w:rFonts w:ascii="Times New Roman" w:hAnsi="Times New Roman" w:cs="Times New Roman"/>
          <w:sz w:val="22"/>
          <w:szCs w:val="22"/>
        </w:rPr>
        <w:t>Kewarganegaraan Ganda Terbatas (UU No. 12 Tahun 2006)</w:t>
      </w:r>
    </w:p>
    <w:p w:rsidR="00654375" w:rsidRPr="001A15FF" w:rsidRDefault="00654375" w:rsidP="00654375">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Lahirnya UU No. 12 Tahun 2006 tentang Kewarganegaraan Republik Indonesia merupakan instrumen perlindungan hukum baru bagi anak hasil perkawinan campuran. Berdasarkan Pasal 4 huruf c, d, h, dan l, Indonesia kini mengakui status Kewarganegaraan Ganda Terbatas.</w:t>
      </w:r>
    </w:p>
    <w:p w:rsidR="00654375" w:rsidRPr="001A15FF" w:rsidRDefault="00654375" w:rsidP="00654375">
      <w:pPr>
        <w:pStyle w:val="ListParagraph"/>
        <w:numPr>
          <w:ilvl w:val="0"/>
          <w:numId w:val="42"/>
        </w:numPr>
        <w:spacing w:line="360" w:lineRule="auto"/>
        <w:ind w:left="567" w:hanging="283"/>
        <w:jc w:val="both"/>
        <w:rPr>
          <w:rFonts w:ascii="Times New Roman" w:hAnsi="Times New Roman" w:cs="Times New Roman"/>
          <w:sz w:val="22"/>
          <w:szCs w:val="22"/>
        </w:rPr>
      </w:pPr>
      <w:r w:rsidRPr="001A15FF">
        <w:rPr>
          <w:rFonts w:ascii="Times New Roman" w:hAnsi="Times New Roman" w:cs="Times New Roman"/>
          <w:sz w:val="22"/>
          <w:szCs w:val="22"/>
        </w:rPr>
        <w:t xml:space="preserve">Asas </w:t>
      </w:r>
      <w:r w:rsidRPr="001A15FF">
        <w:rPr>
          <w:rFonts w:ascii="Times New Roman" w:hAnsi="Times New Roman" w:cs="Times New Roman"/>
          <w:i/>
          <w:iCs/>
          <w:sz w:val="22"/>
          <w:szCs w:val="22"/>
        </w:rPr>
        <w:t xml:space="preserve">Ius Sanguinis Bipatride </w:t>
      </w:r>
      <w:r w:rsidRPr="001A15FF">
        <w:rPr>
          <w:rFonts w:ascii="Times New Roman" w:hAnsi="Times New Roman" w:cs="Times New Roman"/>
          <w:sz w:val="22"/>
          <w:szCs w:val="22"/>
        </w:rPr>
        <w:t>yaitu Anak yang lahir dari perkawinan sah antara ayah WNA dan ibu WNI (atau sebaliknya) berhak menyandang dua kewarganegaraan sekaligus sejak lahir hingga batas usia tertentu.</w:t>
      </w:r>
    </w:p>
    <w:p w:rsidR="00654375" w:rsidRDefault="00654375" w:rsidP="00654375">
      <w:pPr>
        <w:pStyle w:val="ListParagraph"/>
        <w:numPr>
          <w:ilvl w:val="0"/>
          <w:numId w:val="42"/>
        </w:numPr>
        <w:spacing w:line="360" w:lineRule="auto"/>
        <w:ind w:left="567" w:hanging="283"/>
        <w:jc w:val="both"/>
        <w:rPr>
          <w:rFonts w:ascii="Times New Roman" w:hAnsi="Times New Roman" w:cs="Times New Roman"/>
          <w:sz w:val="22"/>
          <w:szCs w:val="22"/>
        </w:rPr>
      </w:pPr>
      <w:r w:rsidRPr="001A15FF">
        <w:rPr>
          <w:rFonts w:ascii="Times New Roman" w:hAnsi="Times New Roman" w:cs="Times New Roman"/>
          <w:sz w:val="22"/>
          <w:szCs w:val="22"/>
        </w:rPr>
        <w:t xml:space="preserve">Mekanisme </w:t>
      </w:r>
      <w:r w:rsidRPr="001A15FF">
        <w:rPr>
          <w:rFonts w:ascii="Times New Roman" w:hAnsi="Times New Roman" w:cs="Times New Roman"/>
          <w:i/>
          <w:iCs/>
          <w:sz w:val="22"/>
          <w:szCs w:val="22"/>
        </w:rPr>
        <w:t>Limited Dual Citizenship</w:t>
      </w:r>
      <w:r w:rsidRPr="001A15FF">
        <w:rPr>
          <w:rFonts w:ascii="Times New Roman" w:hAnsi="Times New Roman" w:cs="Times New Roman"/>
          <w:sz w:val="22"/>
          <w:szCs w:val="22"/>
        </w:rPr>
        <w:t xml:space="preserve"> yaitu status ganda ini bersifat sementara. Berdasarkan Pasal 6 UU No. 12 Tahun 2006, setelah anak berusia 18 (delapan belas) tahun atau sudah menikah, anak tersebut wajib menyatakan pilihan untuk memilih salah satu kewarganegaraannya.</w:t>
      </w:r>
    </w:p>
    <w:p w:rsidR="00654375" w:rsidRPr="00654375" w:rsidRDefault="00654375" w:rsidP="00654375">
      <w:pPr>
        <w:pStyle w:val="ListParagraph"/>
        <w:numPr>
          <w:ilvl w:val="0"/>
          <w:numId w:val="42"/>
        </w:numPr>
        <w:spacing w:line="360" w:lineRule="auto"/>
        <w:ind w:left="567" w:hanging="283"/>
        <w:jc w:val="both"/>
        <w:rPr>
          <w:rFonts w:ascii="Times New Roman" w:hAnsi="Times New Roman" w:cs="Times New Roman"/>
          <w:sz w:val="22"/>
          <w:szCs w:val="22"/>
        </w:rPr>
      </w:pPr>
      <w:r w:rsidRPr="00654375">
        <w:rPr>
          <w:rFonts w:ascii="Times New Roman" w:hAnsi="Times New Roman" w:cs="Times New Roman"/>
          <w:sz w:val="22"/>
          <w:szCs w:val="22"/>
        </w:rPr>
        <w:t>Prosedur Pemilihan Kewarganegaraan</w:t>
      </w:r>
    </w:p>
    <w:p w:rsidR="00654375" w:rsidRPr="001A15FF" w:rsidRDefault="00654375" w:rsidP="00654375">
      <w:pPr>
        <w:spacing w:line="360" w:lineRule="auto"/>
        <w:ind w:hanging="2"/>
        <w:jc w:val="both"/>
        <w:rPr>
          <w:rFonts w:ascii="Times New Roman" w:hAnsi="Times New Roman" w:cs="Times New Roman"/>
          <w:sz w:val="22"/>
          <w:szCs w:val="22"/>
        </w:rPr>
      </w:pPr>
      <w:r w:rsidRPr="001A15FF">
        <w:rPr>
          <w:rFonts w:ascii="Times New Roman" w:hAnsi="Times New Roman" w:cs="Times New Roman"/>
          <w:sz w:val="22"/>
          <w:szCs w:val="22"/>
        </w:rPr>
        <w:t>Ini mengidentifikasi jangka waktu krusial dalam pemilihan kewarganegaraan tersebut:</w:t>
      </w:r>
    </w:p>
    <w:p w:rsidR="00654375" w:rsidRPr="001A15FF" w:rsidRDefault="00654375" w:rsidP="00654375">
      <w:pPr>
        <w:pStyle w:val="ListParagraph"/>
        <w:numPr>
          <w:ilvl w:val="0"/>
          <w:numId w:val="26"/>
        </w:numPr>
        <w:spacing w:line="360" w:lineRule="auto"/>
        <w:jc w:val="both"/>
        <w:rPr>
          <w:rFonts w:ascii="Times New Roman" w:hAnsi="Times New Roman" w:cs="Times New Roman"/>
          <w:sz w:val="22"/>
          <w:szCs w:val="22"/>
        </w:rPr>
      </w:pPr>
      <w:r w:rsidRPr="001A15FF">
        <w:rPr>
          <w:rFonts w:ascii="Times New Roman" w:hAnsi="Times New Roman" w:cs="Times New Roman"/>
          <w:sz w:val="22"/>
          <w:szCs w:val="22"/>
        </w:rPr>
        <w:t>Pernyataan untuk memilih kewarganegaraan harus disampaikan secara tertulis kepada pejabat yang berwenang.</w:t>
      </w:r>
    </w:p>
    <w:p w:rsidR="00654375" w:rsidRPr="001A15FF" w:rsidRDefault="00654375" w:rsidP="00654375">
      <w:pPr>
        <w:pStyle w:val="ListParagraph"/>
        <w:numPr>
          <w:ilvl w:val="0"/>
          <w:numId w:val="26"/>
        </w:numPr>
        <w:spacing w:line="360" w:lineRule="auto"/>
        <w:jc w:val="both"/>
        <w:rPr>
          <w:rFonts w:ascii="Times New Roman" w:hAnsi="Times New Roman" w:cs="Times New Roman"/>
          <w:sz w:val="22"/>
          <w:szCs w:val="22"/>
        </w:rPr>
      </w:pPr>
      <w:r w:rsidRPr="001A15FF">
        <w:rPr>
          <w:rFonts w:ascii="Times New Roman" w:hAnsi="Times New Roman" w:cs="Times New Roman"/>
          <w:sz w:val="22"/>
          <w:szCs w:val="22"/>
        </w:rPr>
        <w:t>Batas waktu penyampaian pilihan adalah paling lambat 3 (tiga) tahun setelah anak berusia 18 tahun atau setelah menikah.</w:t>
      </w:r>
    </w:p>
    <w:p w:rsidR="00654375" w:rsidRPr="001A15FF" w:rsidRDefault="00654375" w:rsidP="00654375">
      <w:pPr>
        <w:pStyle w:val="ListParagraph"/>
        <w:numPr>
          <w:ilvl w:val="0"/>
          <w:numId w:val="26"/>
        </w:numPr>
        <w:spacing w:line="360" w:lineRule="auto"/>
        <w:jc w:val="both"/>
        <w:rPr>
          <w:rFonts w:ascii="Times New Roman" w:hAnsi="Times New Roman" w:cs="Times New Roman"/>
          <w:sz w:val="22"/>
          <w:szCs w:val="22"/>
        </w:rPr>
      </w:pPr>
      <w:r w:rsidRPr="001A15FF">
        <w:rPr>
          <w:rFonts w:ascii="Times New Roman" w:hAnsi="Times New Roman" w:cs="Times New Roman"/>
          <w:sz w:val="22"/>
          <w:szCs w:val="22"/>
        </w:rPr>
        <w:t>Apabila dalam jangka waktu tersebut anak tidak memberikan pernyataan pilihan, maka secara otomatis anak tersebut akan kehilangan status WNI-nya.</w:t>
      </w:r>
    </w:p>
    <w:p w:rsidR="00654375" w:rsidRPr="001A15FF" w:rsidRDefault="00654375" w:rsidP="00D31F1E">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Perubahan dari sistem kewarganegaraan tunggal menjadi ganda terbatas menunjukkan upaya negara dalam memberikan perlindungan hukum yang lebih adil bagi keluarga perkawinan campuran. Hal ini menjamin bahwa anak memiliki akses hak sipil di Indonesia (seperti hak tinggal dan pendidikan) tanpa harus terhambat oleh status kewarganegaraan salah satu orang tuanya selama masa pertumbuhan hingga mencapai usia dewasa secara hukum.</w:t>
      </w:r>
    </w:p>
    <w:p w:rsidR="00654375" w:rsidRPr="001A15FF" w:rsidRDefault="00654375" w:rsidP="00654375">
      <w:pPr>
        <w:spacing w:line="360" w:lineRule="auto"/>
        <w:ind w:hanging="2"/>
        <w:jc w:val="both"/>
        <w:rPr>
          <w:rFonts w:ascii="Times New Roman" w:hAnsi="Times New Roman" w:cs="Times New Roman"/>
          <w:b/>
          <w:bCs/>
          <w:sz w:val="22"/>
          <w:szCs w:val="22"/>
        </w:rPr>
      </w:pPr>
      <w:r w:rsidRPr="001A15FF">
        <w:rPr>
          <w:rFonts w:ascii="Times New Roman" w:hAnsi="Times New Roman" w:cs="Times New Roman"/>
          <w:b/>
          <w:bCs/>
          <w:sz w:val="22"/>
          <w:szCs w:val="22"/>
        </w:rPr>
        <w:t>Konsekuensi Terhadap Harta Benda</w:t>
      </w:r>
    </w:p>
    <w:p w:rsidR="00654375" w:rsidRPr="001A15FF" w:rsidRDefault="00654375" w:rsidP="00D31F1E">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Tanpa adanya perjanjian pra-nikah (</w:t>
      </w:r>
      <w:r w:rsidRPr="001A15FF">
        <w:rPr>
          <w:rFonts w:ascii="Times New Roman" w:hAnsi="Times New Roman" w:cs="Times New Roman"/>
          <w:i/>
          <w:iCs/>
          <w:sz w:val="22"/>
          <w:szCs w:val="22"/>
        </w:rPr>
        <w:t>prenuptial agreement</w:t>
      </w:r>
      <w:r w:rsidRPr="001A15FF">
        <w:rPr>
          <w:rFonts w:ascii="Times New Roman" w:hAnsi="Times New Roman" w:cs="Times New Roman"/>
          <w:sz w:val="22"/>
          <w:szCs w:val="22"/>
        </w:rPr>
        <w:t>), terjadi percampuran harta secara otomatis. Hal ini krusial bagi WNI karena ini mengidentifikasi adanya benturan norma (</w:t>
      </w:r>
      <w:r w:rsidRPr="001A15FF">
        <w:rPr>
          <w:rFonts w:ascii="Times New Roman" w:hAnsi="Times New Roman" w:cs="Times New Roman"/>
          <w:i/>
          <w:iCs/>
          <w:sz w:val="22"/>
          <w:szCs w:val="22"/>
        </w:rPr>
        <w:t>conflict of norms</w:t>
      </w:r>
      <w:r w:rsidRPr="001A15FF">
        <w:rPr>
          <w:rFonts w:ascii="Times New Roman" w:hAnsi="Times New Roman" w:cs="Times New Roman"/>
          <w:sz w:val="22"/>
          <w:szCs w:val="22"/>
        </w:rPr>
        <w:t>) antara hukum kekeluargaan (harta bersama) dan hukum agraria terkait pembatasan kepemilikan tanah bagi Warga Negara Asing (WNA) seperti :</w:t>
      </w:r>
    </w:p>
    <w:p w:rsidR="00654375" w:rsidRPr="001A15FF" w:rsidRDefault="00654375" w:rsidP="00D31F1E">
      <w:pPr>
        <w:pStyle w:val="ListParagraph"/>
        <w:numPr>
          <w:ilvl w:val="0"/>
          <w:numId w:val="43"/>
        </w:numPr>
        <w:spacing w:line="360" w:lineRule="auto"/>
        <w:ind w:left="284" w:hanging="284"/>
        <w:jc w:val="both"/>
        <w:rPr>
          <w:rFonts w:ascii="Times New Roman" w:hAnsi="Times New Roman" w:cs="Times New Roman"/>
          <w:sz w:val="22"/>
          <w:szCs w:val="22"/>
        </w:rPr>
      </w:pPr>
      <w:r w:rsidRPr="001A15FF">
        <w:rPr>
          <w:rFonts w:ascii="Times New Roman" w:hAnsi="Times New Roman" w:cs="Times New Roman"/>
          <w:sz w:val="22"/>
          <w:szCs w:val="22"/>
        </w:rPr>
        <w:t>Asas Nasionalitas dalam Hukum Agraria</w:t>
      </w:r>
    </w:p>
    <w:p w:rsidR="00654375" w:rsidRPr="001A15FF" w:rsidRDefault="00654375" w:rsidP="00D31F1E">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Berdasarkan Pasal 9 ayat (1) jo. Pasal 21 ayat (1) UU No. 5 Tahun 1960 tentang Peraturan Dasar Pokok-Pokok Agraria (UUPA), Indonesia menganut Asas Nasionalitas. Hanya Warga Negara Indonesia (WNI) yang dapat mempunyai hubungan sepenuhnya dengan bumi, air, dan ruang angkasa, yang diwujudkan dalam bentuk Hak Milik (Sertifikat Hak Milik/SHM). WNA secara absolut dilarang memiliki tanah dengan status Hak Milik di Indonesia. WNA hanya diperbolehkan memiliki tanah dengan status Hak Pakai atau Hak Guna Bangunan (HGB) dalam batasan tertentu.</w:t>
      </w:r>
    </w:p>
    <w:p w:rsidR="00654375" w:rsidRPr="001A15FF" w:rsidRDefault="00654375" w:rsidP="00D31F1E">
      <w:pPr>
        <w:pStyle w:val="ListParagraph"/>
        <w:numPr>
          <w:ilvl w:val="0"/>
          <w:numId w:val="43"/>
        </w:numPr>
        <w:spacing w:line="360" w:lineRule="auto"/>
        <w:ind w:left="284" w:hanging="284"/>
        <w:jc w:val="both"/>
        <w:rPr>
          <w:rFonts w:ascii="Times New Roman" w:hAnsi="Times New Roman" w:cs="Times New Roman"/>
          <w:sz w:val="22"/>
          <w:szCs w:val="22"/>
        </w:rPr>
      </w:pPr>
      <w:r w:rsidRPr="001A15FF">
        <w:rPr>
          <w:rFonts w:ascii="Times New Roman" w:hAnsi="Times New Roman" w:cs="Times New Roman"/>
          <w:sz w:val="22"/>
          <w:szCs w:val="22"/>
        </w:rPr>
        <w:t>Konstruksi Harta Bersama dan "Kontaminasi" Status Hukum</w:t>
      </w:r>
    </w:p>
    <w:p w:rsidR="00654375" w:rsidRPr="001A15FF" w:rsidRDefault="00654375" w:rsidP="00D31F1E">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Persoalan muncul ketika seorang WNI menikah dengan WNA tanpa adanya Perjanjian Perkawinan (Pisah Harta). Berdasarkan Pasal 35 UU No. 1 Tahun 1974, harta yang diperoleh selama perkawinan menjadi Harta Bersama. Dalam kacamata hukum agraria, harta bersama yang di dalamnya terdapat unsur asing (suami/istri WNA) menyebabkan harta tersebut dianggap dimiliki secara bersama oleh WNA. Akibatnya, pasangan WNI tersebut kehilangan haknya untuk memegang status Hak Milik atas tanah yang dibeli selama masa perkawinan. Jika tetap memiliki SHM, maka berdasarkan Pasal 21 ayat (3) UUPA, tanah tersebut wajib dilepaskan (dijual atau dihibahkan) kepada pihak lain yang memenuhi syarat dalam jangka waktu 1 (satu) tahun. Jika tidak, maka hak tersebut hapus demi hukum dan tanahnya jatuh kepada Negara.</w:t>
      </w:r>
    </w:p>
    <w:p w:rsidR="00654375" w:rsidRPr="00D31F1E" w:rsidRDefault="00654375" w:rsidP="00D31F1E">
      <w:pPr>
        <w:pStyle w:val="ListParagraph"/>
        <w:numPr>
          <w:ilvl w:val="0"/>
          <w:numId w:val="43"/>
        </w:numPr>
        <w:spacing w:line="360" w:lineRule="auto"/>
        <w:ind w:left="284" w:hanging="284"/>
        <w:jc w:val="both"/>
        <w:rPr>
          <w:rFonts w:ascii="Times New Roman" w:hAnsi="Times New Roman" w:cs="Times New Roman"/>
          <w:sz w:val="22"/>
          <w:szCs w:val="22"/>
        </w:rPr>
      </w:pPr>
      <w:r w:rsidRPr="00D31F1E">
        <w:rPr>
          <w:rFonts w:ascii="Times New Roman" w:hAnsi="Times New Roman" w:cs="Times New Roman"/>
          <w:sz w:val="22"/>
          <w:szCs w:val="22"/>
        </w:rPr>
        <w:t>Perjanjian Perkawinan (</w:t>
      </w:r>
      <w:r w:rsidRPr="00D31F1E">
        <w:rPr>
          <w:rFonts w:ascii="Times New Roman" w:hAnsi="Times New Roman" w:cs="Times New Roman"/>
          <w:i/>
          <w:iCs/>
          <w:sz w:val="22"/>
          <w:szCs w:val="22"/>
        </w:rPr>
        <w:t>Prenuptial &amp; Postnuptial</w:t>
      </w:r>
      <w:r w:rsidRPr="00D31F1E">
        <w:rPr>
          <w:rFonts w:ascii="Times New Roman" w:hAnsi="Times New Roman" w:cs="Times New Roman"/>
          <w:sz w:val="22"/>
          <w:szCs w:val="22"/>
        </w:rPr>
        <w:t>)</w:t>
      </w:r>
    </w:p>
    <w:p w:rsidR="00654375" w:rsidRPr="001A15FF" w:rsidRDefault="00654375" w:rsidP="00D31F1E">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Sebagai bentuk perlindungan hukum bagi WNI, mekanisme yang diakui secara legal adalah pemisahan harta. Hal ini diperkuat dengan Putusan Mahkamah Konstitusi No. 69/PUU-XIII/2015 yang memberikan terobosan hukum seperti dengan adanya perjanjian pisah harta yang disahkan oleh Notaris dan dicatatkan di KUA/Dukcapil, maka harta yang dibeli oleh WNI tetap menjadi milik pribadi WNI dan tidak bercampur dengan pasangan WNA-nya dana Melalui instrumen ini, WNI dalam perkawinan campuran tetap dapat memiliki, membeli, dan mewarisi tanah dengan status Hak Milik tanpa melanggar ketentuan UUPA.Larangan kepemilikan Hak Milik bagi WNA dalam UUPA bersifat imperatif (memaksa). Oleh karena itu, bagi subjek hukum perkawinan campuran, keberadaan Perjanjian Perkawinan bukan lagi sekadar pilihan fakultatif, melainkan kebutuhan yuridis untuk mempertahankan hak konstitusional WNI atas penguasaan tanah di wilayah Republik Indonesia. Jika tidak ada perjanjian pisah harta, pasangan WNI dianggap terkontaminasi status WNA pasangannya, sehingga mereka tidak bisa memiliki tanah dengan hak milik di Indonesia.</w:t>
      </w:r>
    </w:p>
    <w:p w:rsidR="00654375" w:rsidRPr="001A15FF" w:rsidRDefault="00654375" w:rsidP="00D31F1E">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Peneliti menggarisbawahi fenomena hukum yang sering disebut sebagai kontaminasi status, di mana kedudukan hukum seorang Warga Negara Indonesia (WNI) secara perdata terserap oleh status kewarganegaraan asing pasangannya dalam konteks penguasaan aset agraria.</w:t>
      </w:r>
    </w:p>
    <w:p w:rsidR="00654375" w:rsidRPr="001A15FF" w:rsidRDefault="00D31F1E" w:rsidP="00D31F1E">
      <w:pPr>
        <w:pStyle w:val="ListParagraph"/>
        <w:spacing w:line="360" w:lineRule="auto"/>
        <w:ind w:left="0"/>
        <w:jc w:val="both"/>
        <w:rPr>
          <w:rFonts w:ascii="Times New Roman" w:hAnsi="Times New Roman" w:cs="Times New Roman"/>
          <w:sz w:val="22"/>
          <w:szCs w:val="22"/>
        </w:rPr>
      </w:pPr>
      <w:r>
        <w:rPr>
          <w:rFonts w:ascii="Times New Roman" w:hAnsi="Times New Roman" w:cs="Times New Roman"/>
          <w:sz w:val="22"/>
          <w:szCs w:val="22"/>
        </w:rPr>
        <w:t xml:space="preserve">4. </w:t>
      </w:r>
      <w:r w:rsidR="00654375" w:rsidRPr="001A15FF">
        <w:rPr>
          <w:rFonts w:ascii="Times New Roman" w:hAnsi="Times New Roman" w:cs="Times New Roman"/>
          <w:sz w:val="22"/>
          <w:szCs w:val="22"/>
        </w:rPr>
        <w:t>Konstruksi Hukum Kontaminasi Status</w:t>
      </w:r>
    </w:p>
    <w:p w:rsidR="00D31F1E" w:rsidRDefault="00654375" w:rsidP="00D31F1E">
      <w:pPr>
        <w:pStyle w:val="ListParagraph"/>
        <w:spacing w:line="360" w:lineRule="auto"/>
        <w:ind w:left="0" w:firstLine="567"/>
        <w:jc w:val="both"/>
        <w:rPr>
          <w:rFonts w:ascii="Times New Roman" w:hAnsi="Times New Roman" w:cs="Times New Roman"/>
          <w:sz w:val="22"/>
          <w:szCs w:val="22"/>
        </w:rPr>
      </w:pPr>
      <w:r w:rsidRPr="001A15FF">
        <w:rPr>
          <w:rFonts w:ascii="Times New Roman" w:hAnsi="Times New Roman" w:cs="Times New Roman"/>
          <w:sz w:val="22"/>
          <w:szCs w:val="22"/>
        </w:rPr>
        <w:t>Istilah kontaminasi dalam praktik hukum agraria di Indonesia merujuk pada kondisi di mana Harta Bersama (</w:t>
      </w:r>
      <w:r w:rsidRPr="001A15FF">
        <w:rPr>
          <w:rFonts w:ascii="Times New Roman" w:hAnsi="Times New Roman" w:cs="Times New Roman"/>
          <w:i/>
          <w:iCs/>
          <w:sz w:val="22"/>
          <w:szCs w:val="22"/>
        </w:rPr>
        <w:t>Communion of Property</w:t>
      </w:r>
      <w:r w:rsidRPr="001A15FF">
        <w:rPr>
          <w:rFonts w:ascii="Times New Roman" w:hAnsi="Times New Roman" w:cs="Times New Roman"/>
          <w:sz w:val="22"/>
          <w:szCs w:val="22"/>
        </w:rPr>
        <w:t>) menyebabkan subjek hukum asing (WNA) memiliki andil kepemilikan secara tidak langsung atas tanah di Indonesia. Berdasarkan Pasal 21 ayat (1) UUPA, subjek hukum yang dapat memiliki Hak Milik hanyalah WNI tunggal. Penyatuan Harta sesuai Pasal 35 UU Perkawinan, tanpa adanya perjanjian pisah harta, seluruh aset yang diperoleh setelah perkawinan menjadi milik bersama (50% WNI dan 50% WNA). Implikasi karena terdapat porsi 50% hak WNA di dalam aset tersebut, maka secara Jika dalam jangka waktu 1 (satu) tahun tanah tersebut tidak dialihkan kepada pihak lain yang memenuhi syarat (WNI murni), maka Hapus Demi Hukum dengan hak Milik atas tanah tersebut secara otomatis hilang. Dan Jatuh Kepada Negara seperti tanah tersebut kembali dikuasai oleh negara dengan ketentuan bahwa hak-hak pihak lain yang membebaninya tetap berlangsungotomatis aset tanah tersebut tidak lagi memenuhi syarat "dimiliki sepenuhnya oleh WNI." Secara yuridis, status WNI sang pemilik menjadi tidak murni lagi (</w:t>
      </w:r>
      <w:r w:rsidRPr="001A15FF">
        <w:rPr>
          <w:rFonts w:ascii="Times New Roman" w:hAnsi="Times New Roman" w:cs="Times New Roman"/>
          <w:i/>
          <w:iCs/>
          <w:sz w:val="22"/>
          <w:szCs w:val="22"/>
        </w:rPr>
        <w:t>not a qualified subject</w:t>
      </w:r>
      <w:r w:rsidRPr="001A15FF">
        <w:rPr>
          <w:rFonts w:ascii="Times New Roman" w:hAnsi="Times New Roman" w:cs="Times New Roman"/>
          <w:sz w:val="22"/>
          <w:szCs w:val="22"/>
        </w:rPr>
        <w:t>) untuk memegang Hak Milik.</w:t>
      </w:r>
    </w:p>
    <w:p w:rsidR="00654375" w:rsidRPr="00D31F1E" w:rsidRDefault="00D31F1E" w:rsidP="00D31F1E">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5. </w:t>
      </w:r>
      <w:r w:rsidR="00654375" w:rsidRPr="00D31F1E">
        <w:rPr>
          <w:rFonts w:ascii="Times New Roman" w:hAnsi="Times New Roman" w:cs="Times New Roman"/>
          <w:sz w:val="22"/>
          <w:szCs w:val="22"/>
        </w:rPr>
        <w:t>Mitigasi Yuridis Pasca Putusan Mahkamah Konstitusi No. 69/PUU-XIII/2015</w:t>
      </w:r>
    </w:p>
    <w:p w:rsidR="00654375" w:rsidRPr="001A15FF" w:rsidRDefault="00654375" w:rsidP="00D31F1E">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 xml:space="preserve">Sebelum adanya putusan ini, perjanjian perkawinan wajib dibuat </w:t>
      </w:r>
      <w:r w:rsidRPr="001A15FF">
        <w:rPr>
          <w:rFonts w:ascii="Times New Roman" w:hAnsi="Times New Roman" w:cs="Times New Roman"/>
          <w:i/>
          <w:iCs/>
          <w:sz w:val="22"/>
          <w:szCs w:val="22"/>
        </w:rPr>
        <w:t>sebelum</w:t>
      </w:r>
      <w:r w:rsidRPr="001A15FF">
        <w:rPr>
          <w:rFonts w:ascii="Times New Roman" w:hAnsi="Times New Roman" w:cs="Times New Roman"/>
          <w:sz w:val="22"/>
          <w:szCs w:val="22"/>
        </w:rPr>
        <w:t xml:space="preserve"> pernikahan. Namun, penelitian ini mencatat perubahan fundamental seperti : Perjanjian Pasca-Nikah (</w:t>
      </w:r>
      <w:r w:rsidRPr="001A15FF">
        <w:rPr>
          <w:rFonts w:ascii="Times New Roman" w:hAnsi="Times New Roman" w:cs="Times New Roman"/>
          <w:i/>
          <w:iCs/>
          <w:sz w:val="22"/>
          <w:szCs w:val="22"/>
        </w:rPr>
        <w:t>Postnuptial Agreement</w:t>
      </w:r>
      <w:r w:rsidRPr="001A15FF">
        <w:rPr>
          <w:rFonts w:ascii="Times New Roman" w:hAnsi="Times New Roman" w:cs="Times New Roman"/>
          <w:sz w:val="22"/>
          <w:szCs w:val="22"/>
        </w:rPr>
        <w:t>) yaitu pasangan yang sudah terlanjur menikah tanpa perjanjian (dan sudah terkontaminasi) kini dapat membuat akta pemisahan harta di hadapan Notaris selama ikatan perkawinan masih berlangsung. Dan Pemulihan Hak dengan disahkannya perjanjian ini, "kontaminasi" tersebut dianggap berakhir secara hukum. Pasangan WNI kembali memiliki kapasitas hukum penuh untuk memiliki tanah dengan status Hak Milik atas namanya sendiri tanpa campur tangan hak pasangan WNA. Ketiadaan perjanjian pisah harta dalam perkawinan campuran menciptakan kondisi ketidakcakapan hukum bagi WNI dalam memiliki Hak Milik atas tanah. Doktrin kontaminasi ini bukan bertujuan untuk mendiskriminasi WNI, melainkan merupakan bentuk perlindungan kedaulatan tanah nasional agar tidak jatuh ke tangan asing melalui celah hukum perkawinan. Putusan Mahkamah Konstitusi No. 69/PUU-XIII/2015 kini memungkinkan pasangan membuat Perjanjian Perkawinan baik sebelum, pada saat, maupun selama ikatan perkawinan berlangsung melalui akta notaris untuk melindungi hak atas properti bagi pihak WNI.</w:t>
      </w:r>
    </w:p>
    <w:p w:rsidR="00654375" w:rsidRPr="00D31F1E" w:rsidRDefault="00654375" w:rsidP="00654375">
      <w:pPr>
        <w:pStyle w:val="Heading2"/>
        <w:spacing w:before="0" w:line="360" w:lineRule="auto"/>
        <w:jc w:val="both"/>
        <w:rPr>
          <w:rFonts w:ascii="Times New Roman" w:hAnsi="Times New Roman" w:cs="Times New Roman"/>
          <w:b/>
          <w:bCs/>
          <w:i/>
          <w:iCs/>
          <w:color w:val="000000" w:themeColor="text1"/>
          <w:sz w:val="22"/>
          <w:szCs w:val="22"/>
        </w:rPr>
      </w:pPr>
      <w:bookmarkStart w:id="2" w:name="_Toc233100791"/>
      <w:r w:rsidRPr="00D31F1E">
        <w:rPr>
          <w:rFonts w:ascii="Times New Roman" w:hAnsi="Times New Roman" w:cs="Times New Roman"/>
          <w:b/>
          <w:bCs/>
          <w:iCs/>
          <w:color w:val="000000" w:themeColor="text1"/>
          <w:sz w:val="22"/>
          <w:szCs w:val="22"/>
        </w:rPr>
        <w:t>Akibat Hukum Yang Timbul Dari Perkawinan Campuran Di Indonesia</w:t>
      </w:r>
      <w:bookmarkEnd w:id="2"/>
    </w:p>
    <w:p w:rsidR="00654375" w:rsidRPr="001A15FF" w:rsidRDefault="00654375" w:rsidP="00D31F1E">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Pengaturan mengenai kewarganegaraan di Indonesia mengalami perubahan yang cukup signifikan dengan diberlakukannya Undang-Undang Nomor 12 Tahun 2006 tentang Kewarganegaraan Republik Indonesia. Undang-undang ini menggantikan Undang-Undang Nomor 62 Tahun 1958 yang sebelumnya dinilai mengandung unsur diskriminatif. Pemberlakuan undang-undang tersebut secara resmi dimulai sejak tanggal 1 Agustus 2006 berdasarkan penetapan Presiden Republik Indonesia. Dalam penjelasan Undang-Undang Kewarganegaraan yang baru ditegaskan bahwa Undang-Undang Nomor 62 Tahun 1958 sudah tidak lagi sesuai dengan perkembangan masyarakat dan sistem ketatanegaraan Indonesia, baik dari aspek filosofis, yuridis, maupun sosiologis. Dari sisi filosofis, undang-undang tersebut dinilai belum sejalan dengan nilai-nilai Pancasila, karena masih memuat ketentuan yang bersifat diskriminatif, belum sepenuhnya menjamin perlindungan hak asasi manusia serta persamaan kedudukan warga negara, dan kurang memberikan perlindungan yang memadai bagi perempuan dan anak-anak.</w:t>
      </w:r>
      <w:r w:rsidR="00D31F1E" w:rsidRPr="001A15FF">
        <w:rPr>
          <w:rFonts w:ascii="Times New Roman" w:hAnsi="Times New Roman" w:cs="Times New Roman"/>
          <w:sz w:val="22"/>
          <w:szCs w:val="22"/>
        </w:rPr>
        <w:t xml:space="preserve"> </w:t>
      </w:r>
      <w:r w:rsidRPr="001A15FF">
        <w:rPr>
          <w:rFonts w:ascii="Times New Roman" w:hAnsi="Times New Roman" w:cs="Times New Roman"/>
          <w:sz w:val="22"/>
          <w:szCs w:val="22"/>
        </w:rPr>
        <w:t>Dari aspek yuridis, pembentukan undang-undang tersebut didasarkan pada Undang-Undang Dasar Sementara Tahun 1950, yang kemudian tidak lagi berlaku sejak dikeluarkannya Dekrit Presiden pada 5 Juli 1959 yang menetapkan kembali berlakunya Undang-Undang Dasar 1945. Seiring dengan perkembangannya, Undang-Undang Dasar 1945 telah mengalami berbagai perubahan yang semakin memperkuat jaminan perlindungan hak asasi manusia serta hak-hak warga negara.</w:t>
      </w:r>
    </w:p>
    <w:p w:rsidR="00654375" w:rsidRPr="001A15FF" w:rsidRDefault="00654375" w:rsidP="00D31F1E">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Dari perspektif sosiologis, undang-undang tersebut dinilai tidak lagi mampu menyesuaikan diri dengan perkembangan dan tuntutan masyarakat Indonesia yang semakin terintegrasi dalam pergaulan global. Kondisi ini menuntut adanya jaminan atas persamaan perlakuan dan kedudukan setiap warga negara di hadapan hukum, termasuk penerapan prinsip kesetaraan dan keadilan gender. Sebagai respons terhadap kebutuhan tersebut, Undang-Undang Kewarganegaraan yang baru mengadopsi berbagai asas kewarganegaraan yang bersifat umum atau universal. Adapun asas-asas yang terkandung dalam undang-undang ini meliputi:</w:t>
      </w:r>
    </w:p>
    <w:p w:rsidR="00654375" w:rsidRPr="001A15FF" w:rsidRDefault="00654375" w:rsidP="00D31F1E">
      <w:pPr>
        <w:pStyle w:val="ListParagraph"/>
        <w:numPr>
          <w:ilvl w:val="0"/>
          <w:numId w:val="44"/>
        </w:numPr>
        <w:spacing w:line="360" w:lineRule="auto"/>
        <w:ind w:left="284" w:hanging="284"/>
        <w:jc w:val="both"/>
        <w:rPr>
          <w:rFonts w:ascii="Times New Roman" w:hAnsi="Times New Roman" w:cs="Times New Roman"/>
          <w:sz w:val="22"/>
          <w:szCs w:val="22"/>
        </w:rPr>
      </w:pPr>
      <w:r w:rsidRPr="001A15FF">
        <w:rPr>
          <w:rFonts w:ascii="Times New Roman" w:hAnsi="Times New Roman" w:cs="Times New Roman"/>
          <w:sz w:val="22"/>
          <w:szCs w:val="22"/>
        </w:rPr>
        <w:t xml:space="preserve">Asas </w:t>
      </w:r>
      <w:r w:rsidRPr="001A15FF">
        <w:rPr>
          <w:rFonts w:ascii="Times New Roman" w:hAnsi="Times New Roman" w:cs="Times New Roman"/>
          <w:i/>
          <w:iCs/>
          <w:sz w:val="22"/>
          <w:szCs w:val="22"/>
        </w:rPr>
        <w:t>ius Sanguinis</w:t>
      </w:r>
      <w:r w:rsidRPr="001A15FF">
        <w:rPr>
          <w:rFonts w:ascii="Times New Roman" w:hAnsi="Times New Roman" w:cs="Times New Roman"/>
          <w:sz w:val="22"/>
          <w:szCs w:val="22"/>
        </w:rPr>
        <w:t xml:space="preserve">, adalah asas yang menentukan kewarganegaraan seseorang berdasarkan keturunan bukan berdasarkan negara tempat kelahiran. </w:t>
      </w:r>
    </w:p>
    <w:p w:rsidR="00654375" w:rsidRPr="001A15FF" w:rsidRDefault="00654375" w:rsidP="00D31F1E">
      <w:pPr>
        <w:pStyle w:val="ListParagraph"/>
        <w:numPr>
          <w:ilvl w:val="0"/>
          <w:numId w:val="44"/>
        </w:numPr>
        <w:spacing w:line="360" w:lineRule="auto"/>
        <w:ind w:left="284" w:hanging="284"/>
        <w:jc w:val="both"/>
        <w:rPr>
          <w:rFonts w:ascii="Times New Roman" w:hAnsi="Times New Roman" w:cs="Times New Roman"/>
          <w:sz w:val="22"/>
          <w:szCs w:val="22"/>
        </w:rPr>
      </w:pPr>
      <w:r w:rsidRPr="001A15FF">
        <w:rPr>
          <w:rFonts w:ascii="Times New Roman" w:hAnsi="Times New Roman" w:cs="Times New Roman"/>
          <w:sz w:val="22"/>
          <w:szCs w:val="22"/>
        </w:rPr>
        <w:t xml:space="preserve">Asas </w:t>
      </w:r>
      <w:r w:rsidRPr="001A15FF">
        <w:rPr>
          <w:rFonts w:ascii="Times New Roman" w:hAnsi="Times New Roman" w:cs="Times New Roman"/>
          <w:i/>
          <w:iCs/>
          <w:sz w:val="22"/>
          <w:szCs w:val="22"/>
        </w:rPr>
        <w:t>Ius soli,</w:t>
      </w:r>
      <w:r w:rsidRPr="001A15FF">
        <w:rPr>
          <w:rFonts w:ascii="Times New Roman" w:hAnsi="Times New Roman" w:cs="Times New Roman"/>
          <w:sz w:val="22"/>
          <w:szCs w:val="22"/>
        </w:rPr>
        <w:t xml:space="preserve"> secara terbatas adalah asas yang menentukan kewarganegaraan seseorang berdasarkan tempat kelahiran, yang diberlakukan terbatas bagi anak-anak sesuai dengan ketentuan yang diatur dalam undang-undang ini.</w:t>
      </w:r>
    </w:p>
    <w:p w:rsidR="00654375" w:rsidRPr="001A15FF" w:rsidRDefault="00654375" w:rsidP="00D31F1E">
      <w:pPr>
        <w:pStyle w:val="ListParagraph"/>
        <w:numPr>
          <w:ilvl w:val="0"/>
          <w:numId w:val="44"/>
        </w:numPr>
        <w:spacing w:line="360" w:lineRule="auto"/>
        <w:ind w:left="284" w:hanging="284"/>
        <w:jc w:val="both"/>
        <w:rPr>
          <w:rFonts w:ascii="Times New Roman" w:hAnsi="Times New Roman" w:cs="Times New Roman"/>
          <w:sz w:val="22"/>
          <w:szCs w:val="22"/>
        </w:rPr>
      </w:pPr>
      <w:r w:rsidRPr="001A15FF">
        <w:rPr>
          <w:rFonts w:ascii="Times New Roman" w:hAnsi="Times New Roman" w:cs="Times New Roman"/>
          <w:sz w:val="22"/>
          <w:szCs w:val="22"/>
        </w:rPr>
        <w:t>Asas kewarganegaraan tunggal adalah asas yang menentukan satu kewarganegaraan bagi setiap orang.</w:t>
      </w:r>
    </w:p>
    <w:p w:rsidR="00654375" w:rsidRPr="001A15FF" w:rsidRDefault="00654375" w:rsidP="00D31F1E">
      <w:pPr>
        <w:pStyle w:val="ListParagraph"/>
        <w:numPr>
          <w:ilvl w:val="0"/>
          <w:numId w:val="44"/>
        </w:numPr>
        <w:spacing w:line="360" w:lineRule="auto"/>
        <w:ind w:left="284" w:hanging="284"/>
        <w:jc w:val="both"/>
        <w:rPr>
          <w:rFonts w:ascii="Times New Roman" w:hAnsi="Times New Roman" w:cs="Times New Roman"/>
          <w:sz w:val="22"/>
          <w:szCs w:val="22"/>
        </w:rPr>
      </w:pPr>
      <w:r w:rsidRPr="001A15FF">
        <w:rPr>
          <w:rFonts w:ascii="Times New Roman" w:hAnsi="Times New Roman" w:cs="Times New Roman"/>
          <w:sz w:val="22"/>
          <w:szCs w:val="22"/>
        </w:rPr>
        <w:t xml:space="preserve">Asas kewarganegaraan ganda terbatas adalah asas yang menentukan kewarganegaraan ganda bagi anak-anak sesuai dengan ketentuan yang diatur dalam undang-undang ini. </w:t>
      </w:r>
    </w:p>
    <w:p w:rsidR="00654375" w:rsidRPr="001A15FF" w:rsidRDefault="00654375" w:rsidP="00D31F1E">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Pada prinsipnya, undang-undang ini tidak menganut konsep kewarganegaraan ganda (bipatride) maupun tanpa kewarganegaraan (</w:t>
      </w:r>
      <w:r w:rsidRPr="001A15FF">
        <w:rPr>
          <w:rFonts w:ascii="Times New Roman" w:hAnsi="Times New Roman" w:cs="Times New Roman"/>
          <w:i/>
          <w:iCs/>
          <w:sz w:val="22"/>
          <w:szCs w:val="22"/>
        </w:rPr>
        <w:t>apatride</w:t>
      </w:r>
      <w:r w:rsidRPr="001A15FF">
        <w:rPr>
          <w:rFonts w:ascii="Times New Roman" w:hAnsi="Times New Roman" w:cs="Times New Roman"/>
          <w:sz w:val="22"/>
          <w:szCs w:val="22"/>
        </w:rPr>
        <w:t>). Pemberian kewarganegaraan ganda hanya berlaku secara terbatas, yaitu sebagai pengecualian yang diberikan kepada anak dalam kondisi tertentu. Salah satu persoalan yang sering muncul dalam perkawinan campuran berkaitan dengan status kewarganegaraan anak. Dalam ketentuan sebelumnya, undang-undang kewarganegaraan menganut prinsip kewarganegaraan tunggal, sehingga anak yang lahir dari perkawinan campuran hanya dapat memiliki satu kewarganegaraan. Penentuan kewarganegaraan tersebut didasarkan pada kewarganegaraan ayah, sehingga anak secara otomatis mengikuti status kewarganegaraan ayahnya. Pengaturan tersebut menimbulkan berbagai permasalahan dalam praktik. Salah satunya berkaitan dengan keharusan bagi anak untuk terus memperpanjang izin tinggal apabila ingin menetap di Indonesia. Selain itu, dalam hal terjadi perceraian orang tua, pihak ibu seringkali menghadapi kesulitan dalam memperoleh hak pengasuhan apabila anak berstatus sebagai warga negara asing. Berbeda dengan ketentuan sebelumnya, Undang-Undang Nomor 12 Tahun 2006 tentang Kewarganegaraan tidak lagi mengatur ketentuan tersebut. Secara khusus, bagi anak yang lahir dari perkawinan campuran, Pasal 6 memberikan kemungkinan untuk memiliki kewarganegaraan ganda secara terbatas, yaitu hingga anak tersebut berusia 18 tahun atau telah menikah.</w:t>
      </w:r>
    </w:p>
    <w:p w:rsidR="00654375" w:rsidRPr="001A15FF" w:rsidRDefault="00654375" w:rsidP="00D31F1E">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Setelah mencapai usia 18 tahun atau telah menikah, anak yang memiliki kewarganegaraan ganda diwajibkan untuk menentukan pilihan kewarganegaraannya, apakah akan mengikuti kewarganegaraan orang tuanya atau menjadi warga negara Indonesia. Pernyataan pilihan tersebut harus disampaikan paling lambat dalam jangka waktu tiga tahun setelah anak berusia 18 tahun atau setelah menikah. Selain itu, Undang-Undang Kewarganegaraan juga memberikan ketentuan bagi anak yang lahir sebelum undang-undang tersebut diberlakukan, dengan syarat belum berusia 18 tahun dan belum menikah, untuk diakui sebagai warga negara Indonesia. Pengakuan tersebut dilakukan melalui proses pendaftaran kepada Menteri melalui pejabat yang berwenang atau perwakilan Republik Indonesia, dengan batas waktu paling lama empat tahun sejak undang-undang tersebut diundangkan.</w:t>
      </w:r>
      <w:r w:rsidR="00D31F1E" w:rsidRPr="001A15FF">
        <w:rPr>
          <w:rFonts w:ascii="Times New Roman" w:hAnsi="Times New Roman" w:cs="Times New Roman"/>
          <w:sz w:val="22"/>
          <w:szCs w:val="22"/>
        </w:rPr>
        <w:t xml:space="preserve"> </w:t>
      </w:r>
      <w:r w:rsidRPr="001A15FF">
        <w:rPr>
          <w:rFonts w:ascii="Times New Roman" w:hAnsi="Times New Roman" w:cs="Times New Roman"/>
          <w:sz w:val="22"/>
          <w:szCs w:val="22"/>
        </w:rPr>
        <w:t>Status kewarganegaraan ganda tidak hanya berlaku bagi anak yang lahir dari perkawinan yang sah, tetapi juga dapat diberikan kepada anak yang lahir di luar perkawinan. Dalam hal ini, anak yang lahir di luar perkawinan yang sah dari ibu berkewarganegaraan Indonesia tetap diakui sebagai warga negara Indonesia, sepanjang anak tersebut diakui secara sah oleh ayahnya yang berkewarganegaraan asing, sebagaimana diatur dalam Pasal 5 Undang-Undang Kewarganegaraan.</w:t>
      </w:r>
    </w:p>
    <w:p w:rsidR="00654375" w:rsidRPr="001A15FF" w:rsidRDefault="00654375" w:rsidP="00D31F1E">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Dalam konteks anak yang lahir di luar perkawinan, terdapat beberapa aspek hukum yang perlu diperhatikan, baik berdasarkan ketentuan dalam Undang-Undang Perkawinan maupun Kitab Undang-Undang Hukum Perdata. Pasal 43 Undang-Undang Perkawinan menyatakan bahwa anak yang lahir di luar perkawinan hanya memiliki hubungan perdata dengan ibu dan keluarga dari pihak ibu. Namun demikian, apabila anak tersebut diakui oleh ayahnya, maka berdasarkan ketentuan hukum perdata, anak tersebut dapat memiliki hubungan hukum dengan ayahnya. Meskipun demikian, hubungan tersebut terbatas dan tidak secara otomatis meluas kepada keluarga dari pihak ayah. Pengakuan terhadap anak tersebut harus dinyatakan secara resmi melalui suatu akta pengakuan.</w:t>
      </w:r>
    </w:p>
    <w:p w:rsidR="00654375" w:rsidRPr="001A15FF" w:rsidRDefault="00654375" w:rsidP="00D31F1E">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Pemberian status kewarganegaraan ganda terbatas merupakan suatu langkah progresif dalam memberikan perlindungan hukum bagi anak-anak yang lahir dari perkawinan campuran. Kebijakan ini dimaksudkan untuk menjamin kepentingan terbaik bagi anak, termasuk kepastian status hukum dan kemudahan dalam menjalani kehidupan sehari-hari, tanpa harus menghadapi kendala administratif seperti pengurusan izin tinggal yang berulang. Ketentuan ini sebagaimana diatur dalam Pasal 6 Undang-Undang Nomor 12 Tahun 2006, yang mengatur mengenai status kewarganegaraan Republik Indonesia bagi anak dalam kondisi tertentu, sebagai berikut:</w:t>
      </w:r>
      <w:r w:rsidRPr="001A15FF">
        <w:rPr>
          <w:rStyle w:val="FootnoteReference"/>
          <w:rFonts w:ascii="Times New Roman" w:hAnsi="Times New Roman" w:cs="Times New Roman"/>
          <w:sz w:val="22"/>
          <w:szCs w:val="22"/>
        </w:rPr>
        <w:t xml:space="preserve"> </w:t>
      </w:r>
    </w:p>
    <w:p w:rsidR="00654375" w:rsidRPr="001A15FF" w:rsidRDefault="00654375" w:rsidP="00654375">
      <w:pPr>
        <w:pStyle w:val="ListParagraph"/>
        <w:numPr>
          <w:ilvl w:val="3"/>
          <w:numId w:val="21"/>
        </w:numPr>
        <w:spacing w:line="360" w:lineRule="auto"/>
        <w:ind w:left="284" w:hanging="284"/>
        <w:jc w:val="both"/>
        <w:rPr>
          <w:rFonts w:ascii="Times New Roman" w:hAnsi="Times New Roman" w:cs="Times New Roman"/>
          <w:sz w:val="22"/>
          <w:szCs w:val="22"/>
        </w:rPr>
      </w:pPr>
      <w:r w:rsidRPr="001A15FF">
        <w:rPr>
          <w:rFonts w:ascii="Times New Roman" w:hAnsi="Times New Roman" w:cs="Times New Roman"/>
          <w:sz w:val="22"/>
          <w:szCs w:val="22"/>
        </w:rPr>
        <w:t>Anak yang lahir dari perkawinan yang sah dari seorang ayah Warga Negara Indonesia dan ibu Warga Negara Asing.</w:t>
      </w:r>
    </w:p>
    <w:p w:rsidR="00654375" w:rsidRPr="001A15FF" w:rsidRDefault="00654375" w:rsidP="00654375">
      <w:pPr>
        <w:pStyle w:val="ListParagraph"/>
        <w:numPr>
          <w:ilvl w:val="3"/>
          <w:numId w:val="21"/>
        </w:numPr>
        <w:spacing w:line="360" w:lineRule="auto"/>
        <w:ind w:left="284" w:hanging="284"/>
        <w:jc w:val="both"/>
        <w:rPr>
          <w:rFonts w:ascii="Times New Roman" w:hAnsi="Times New Roman" w:cs="Times New Roman"/>
          <w:sz w:val="22"/>
          <w:szCs w:val="22"/>
        </w:rPr>
      </w:pPr>
      <w:r w:rsidRPr="001A15FF">
        <w:rPr>
          <w:rFonts w:ascii="Times New Roman" w:hAnsi="Times New Roman" w:cs="Times New Roman"/>
          <w:sz w:val="22"/>
          <w:szCs w:val="22"/>
        </w:rPr>
        <w:t>Anak yang lahir dari perkawinan yang sah dari seorang ayah Warga Negara Asing dengan ibu Warga Negara Indonesia.</w:t>
      </w:r>
    </w:p>
    <w:p w:rsidR="00654375" w:rsidRPr="001A15FF" w:rsidRDefault="00654375" w:rsidP="00654375">
      <w:pPr>
        <w:pStyle w:val="ListParagraph"/>
        <w:numPr>
          <w:ilvl w:val="3"/>
          <w:numId w:val="21"/>
        </w:numPr>
        <w:spacing w:line="360" w:lineRule="auto"/>
        <w:ind w:left="284" w:hanging="284"/>
        <w:jc w:val="both"/>
        <w:rPr>
          <w:rFonts w:ascii="Times New Roman" w:hAnsi="Times New Roman" w:cs="Times New Roman"/>
          <w:sz w:val="22"/>
          <w:szCs w:val="22"/>
        </w:rPr>
      </w:pPr>
      <w:r w:rsidRPr="001A15FF">
        <w:rPr>
          <w:rFonts w:ascii="Times New Roman" w:hAnsi="Times New Roman" w:cs="Times New Roman"/>
          <w:sz w:val="22"/>
          <w:szCs w:val="22"/>
        </w:rPr>
        <w:t>Anak yang lahir dari tenggang waktu 300 (tiga ratus) hari setelah ayahnya meninggal dunia dari perkawinan yang sah dan ayahnya warga Negara Indonesia</w:t>
      </w:r>
    </w:p>
    <w:p w:rsidR="00654375" w:rsidRPr="001A15FF" w:rsidRDefault="00654375" w:rsidP="00654375">
      <w:pPr>
        <w:pStyle w:val="ListParagraph"/>
        <w:numPr>
          <w:ilvl w:val="3"/>
          <w:numId w:val="21"/>
        </w:numPr>
        <w:spacing w:line="360" w:lineRule="auto"/>
        <w:ind w:left="284" w:hanging="284"/>
        <w:jc w:val="both"/>
        <w:rPr>
          <w:rFonts w:ascii="Times New Roman" w:hAnsi="Times New Roman" w:cs="Times New Roman"/>
          <w:sz w:val="22"/>
          <w:szCs w:val="22"/>
        </w:rPr>
      </w:pPr>
      <w:r w:rsidRPr="001A15FF">
        <w:rPr>
          <w:rFonts w:ascii="Times New Roman" w:hAnsi="Times New Roman" w:cs="Times New Roman"/>
          <w:sz w:val="22"/>
          <w:szCs w:val="22"/>
        </w:rPr>
        <w:t xml:space="preserve">Anak dari seorang ayah atau ibu yang telah dikabulkan permohonan kewarganegraannya,kemudian ayah atau ibunya meninggal dunia sebelum mengucapkan sumpah atau menyatakan janji setia. </w:t>
      </w:r>
    </w:p>
    <w:p w:rsidR="00654375" w:rsidRPr="001A15FF" w:rsidRDefault="00654375" w:rsidP="00654375">
      <w:pPr>
        <w:pStyle w:val="ListParagraph"/>
        <w:numPr>
          <w:ilvl w:val="3"/>
          <w:numId w:val="21"/>
        </w:numPr>
        <w:spacing w:line="360" w:lineRule="auto"/>
        <w:ind w:left="284" w:hanging="284"/>
        <w:jc w:val="both"/>
        <w:rPr>
          <w:rFonts w:ascii="Times New Roman" w:hAnsi="Times New Roman" w:cs="Times New Roman"/>
          <w:sz w:val="22"/>
          <w:szCs w:val="22"/>
        </w:rPr>
      </w:pPr>
      <w:r w:rsidRPr="001A15FF">
        <w:rPr>
          <w:rFonts w:ascii="Times New Roman" w:hAnsi="Times New Roman" w:cs="Times New Roman"/>
          <w:sz w:val="22"/>
          <w:szCs w:val="22"/>
        </w:rPr>
        <w:t>Anak yang lahir di luar perkawinan yang sah, belum berusia 18 tahun atau belum menikah diakui secara sah oleh ayahnya yang berkewarganegaraan asing tetap diakui sebagai Warga Negara Indonesia.</w:t>
      </w:r>
    </w:p>
    <w:p w:rsidR="00654375" w:rsidRPr="001A15FF" w:rsidRDefault="00654375" w:rsidP="00D31F1E">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Anak yang memiliki status kewarganegaraan ganda diwajibkan untuk menyatakan pilihan kewarganegaraannya setelah mencapai usia 18 tahun atau setelah menikah. Pilihan tersebut menjadi kewajiban hukum yang harus dipenuhi sebagai bentuk kepastian status kewarganegaraan di kemudian hari. Selain itu, undang-undang ini juga memberikan terobosan penting lainnya, yaitu anak yang berstatus kewarganegaraan ganda berhak memperoleh akta kelahiran di Indonesia sekaligus akta kelahiran dari negara lain yang mengakuinya sebagai warga negara. Dengan demikian, anak tersebut berhak mendapatkan pelayanan publik di Indonesia sebagaimana warga negara pada umumnya, termasuk hak untuk mengakses pendidikan. Kondisi ini sangat berbeda dengan ketentuan yang berlaku sebelumnya. Dalam undang-undang kewarganegaraan yang lama, anak dari perkawinan campuran tidak hanya kesulitan dalam memperoleh akta kelahiran, tetapi bahkan dapat dikenai tindakan deportasi apabila izin tinggalnya telah melampaui batas waktu yang ditentukan.</w:t>
      </w:r>
    </w:p>
    <w:p w:rsidR="00654375" w:rsidRPr="001A15FF" w:rsidRDefault="00654375" w:rsidP="00D31F1E">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Secara substansial dan konseptual, Undang-Undang Nomor 12 Tahun 2006 mencerminkan komitmen yang kuat dari negara dalam memberikan perlindungan hukum, khususnya bagi perempuan yang menikah dengan warga negara asing serta anak-anak yang lahir dari perkawinan campuran. Selain itu, undang-undang ini juga menandai penghapusan ketentuan kewarganegaraan yang sebelumnya bersifat diskriminatif, sehingga lebih menjunjung prinsip keadilan dan kesetaraan.Selanjutnya, bagi individu yang melangsungkan perkawinan campuran, dimungkinkan untuk memperoleh kewarganegaraan dari suami atau istri, serta berpotensi kehilangan kewarganegaraannya sesuai dengan mekanisme yang diatur dalam peraturan perundang-undangan tentang kewarganegaraan Republik Indonesia. Ketentuan ini diatur dalam Pasal 58 Undang-Undang Perkawinan.</w:t>
      </w:r>
    </w:p>
    <w:p w:rsidR="00654375" w:rsidRPr="001A15FF" w:rsidRDefault="00654375" w:rsidP="00D31F1E">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Berdasarkan ketentuan Pasal 19 Undang-Undang Nomor 12 Tahun 2006, Warga Negara Asing yang menikah secara sah dengan Warga Negara Indonesia dapat memperoleh kewarganegaraan Republik Indonesia dengan mengajukan pernyataan menjadi warga negara di hadapan pejabat yang berwenang. Pernyataan tersebut hanya dapat dilakukan apabila yang bersangkutan telah bertempat tinggal di wilayah Republik Indonesia sekurang-kurangnya selama 5 (lima) tahun berturut-turut atau selama 10 (sepuluh) tahun tidak berturut-turut.</w:t>
      </w:r>
    </w:p>
    <w:p w:rsidR="00654375" w:rsidRDefault="00654375" w:rsidP="00D31F1E">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Selanjutnya, Pasal 26 Undang-Undang Nomor 12 Tahun 2006 mengatur bahwa perempuan Warga Negara Indonesia yang menikah dengan laki-laki warga negara asing dapat kehilangan kewarganegaraan Republik Indonesia apabila menurut hukum negara asal suaminya, kewarganegaraan istri mengikuti kewarganegaraan suami sebagai akibat dari perkawinan tersebut. Ketentuan serupa juga berlaku bagi laki-laki Warga Negara Indonesia yang menikah dengan perempuan warga negara asing, apabila menurut hukum negara asal istrinya, kewarganegaraan suami mengikuti kewarganegaraan istri. Namun demikian, bagi pihak yang bersangkutan yang ingin tetap mempertahankan kewarganegaraan Republik Indonesia, diberikan kesempatan untuk mengajukan pernyataan kehendak kepada pejabat yang berwenang atau perwakilan Republik Indonesia yang wilayah kerjanya meliputi tempat tinggal yang bersangkutan.</w:t>
      </w:r>
    </w:p>
    <w:p w:rsidR="00D31F1E" w:rsidRPr="001A15FF" w:rsidRDefault="00D31F1E" w:rsidP="00D31F1E">
      <w:pPr>
        <w:spacing w:line="360" w:lineRule="auto"/>
        <w:ind w:firstLine="567"/>
        <w:jc w:val="both"/>
        <w:rPr>
          <w:rFonts w:ascii="Times New Roman" w:hAnsi="Times New Roman" w:cs="Times New Roman"/>
          <w:sz w:val="22"/>
          <w:szCs w:val="22"/>
        </w:rPr>
      </w:pPr>
    </w:p>
    <w:p w:rsidR="00654375" w:rsidRPr="001A15FF" w:rsidRDefault="00654375" w:rsidP="00654375">
      <w:pPr>
        <w:tabs>
          <w:tab w:val="left" w:pos="1025"/>
        </w:tabs>
        <w:spacing w:line="360" w:lineRule="auto"/>
        <w:ind w:hanging="2"/>
        <w:jc w:val="both"/>
        <w:rPr>
          <w:rFonts w:ascii="Times New Roman" w:eastAsia="Times New Roman" w:hAnsi="Times New Roman" w:cs="Times New Roman"/>
          <w:b/>
          <w:bCs/>
          <w:sz w:val="22"/>
          <w:szCs w:val="22"/>
          <w:lang w:val="id-ID"/>
        </w:rPr>
      </w:pPr>
      <w:r w:rsidRPr="001A15FF">
        <w:rPr>
          <w:rFonts w:ascii="Times New Roman" w:eastAsia="Times New Roman" w:hAnsi="Times New Roman" w:cs="Times New Roman"/>
          <w:b/>
          <w:bCs/>
          <w:sz w:val="22"/>
          <w:szCs w:val="22"/>
          <w:lang w:val="id-ID"/>
        </w:rPr>
        <w:t>KESIMPULAN</w:t>
      </w:r>
    </w:p>
    <w:p w:rsidR="00654375" w:rsidRPr="001A15FF" w:rsidRDefault="00654375" w:rsidP="00D31F1E">
      <w:pPr>
        <w:spacing w:line="360" w:lineRule="auto"/>
        <w:ind w:firstLine="567"/>
        <w:jc w:val="both"/>
        <w:rPr>
          <w:rFonts w:ascii="Times New Roman" w:hAnsi="Times New Roman" w:cs="Times New Roman"/>
          <w:sz w:val="22"/>
          <w:szCs w:val="22"/>
        </w:rPr>
      </w:pPr>
      <w:r w:rsidRPr="001A15FF">
        <w:rPr>
          <w:rFonts w:ascii="Times New Roman" w:hAnsi="Times New Roman" w:cs="Times New Roman"/>
          <w:sz w:val="22"/>
          <w:szCs w:val="22"/>
        </w:rPr>
        <w:t xml:space="preserve">Berdasarkan apa yang telah diuraikan tersebut di atas, maka dapat ditarik kesimpulan bahwa Dualisme Syarat Materiil sebagai Penjaga Ketertiban Umum dimana perkawinan campuran di Indonesia berdiri di atas pertemuan dua sistem hukum berbeda. Penegakan syarat materiil (batas usia 19 tahun, persetujuan bebas, dan ketiadaan halangan) bagi WNI merupakan bentuk perlindungan negara terhadap kematangan biologis dan psikologis warga negaranya. Sementara itu, pemberlakuan asas Lex Patriae melalui instrumen </w:t>
      </w:r>
      <w:r w:rsidRPr="001A15FF">
        <w:rPr>
          <w:rFonts w:ascii="Times New Roman" w:hAnsi="Times New Roman" w:cs="Times New Roman"/>
          <w:i/>
          <w:iCs/>
          <w:sz w:val="22"/>
          <w:szCs w:val="22"/>
        </w:rPr>
        <w:t>Certificate of No Impediment</w:t>
      </w:r>
      <w:r w:rsidRPr="001A15FF">
        <w:rPr>
          <w:rFonts w:ascii="Times New Roman" w:hAnsi="Times New Roman" w:cs="Times New Roman"/>
          <w:sz w:val="22"/>
          <w:szCs w:val="22"/>
        </w:rPr>
        <w:t xml:space="preserve"> (CNI) bagi WNA berfungsi untuk mencegah terjadinya penyelundupan hukum dan memastikan validitas status perdata lintas negara. Transformasi Status Kewarganegaraan Anak Dari Patriarkal ke Pelindungan Hak yaitu terjadi pergeseran paradigma yang signifikan dari UU No. 62 Tahun 1958 ke UU No. 12 Tahun 2006. Adopsi asas Kewarganegaraan Ganda Terbatas merupakan manifestasi perlindungan Hak Asasi Manusia bagi anak hasil perkawinan campuran. Hal ini memberikan ruang bagi anak untuk memiliki akses hak sipil di Indonesia hingga usia 18 tahun (plus 3 tahun masa transisi), sekaligus menghapus diskriminasi hukum yang sebelumnya merugikan posisi ibu WNI.</w:t>
      </w:r>
    </w:p>
    <w:p w:rsidR="00654375" w:rsidRPr="001A15FF" w:rsidRDefault="00654375" w:rsidP="00D31F1E">
      <w:pPr>
        <w:pStyle w:val="ListParagraph"/>
        <w:spacing w:line="360" w:lineRule="auto"/>
        <w:ind w:left="0" w:firstLine="567"/>
        <w:jc w:val="both"/>
        <w:rPr>
          <w:rFonts w:ascii="Times New Roman" w:hAnsi="Times New Roman" w:cs="Times New Roman"/>
          <w:sz w:val="22"/>
          <w:szCs w:val="22"/>
        </w:rPr>
      </w:pPr>
      <w:r w:rsidRPr="001A15FF">
        <w:rPr>
          <w:rFonts w:ascii="Times New Roman" w:hAnsi="Times New Roman" w:cs="Times New Roman"/>
          <w:sz w:val="22"/>
          <w:szCs w:val="22"/>
        </w:rPr>
        <w:t>Anak yang lahir dari perkawinan campuran akan memperoleh kewarganegaraan ganda sampai berusia 18 tahun atau sampai menikah. Setelah bersuia 18 Tahun atau sudah kawin anak tersebut harus menyatakan memilih salah satu kewaganegaraannya.  Perempuan WNI dan laki-laki WNI yang menikah dengan WNA dapat kehilngan kewarganegaraan Indonesia, jika ingin tetap mnjadi WNI harus menyatakan keinginannya kepada pejabat. WNA yang menikah secara sah dengan WNI dapat memproleh kewarganegaraan Indonesia jika sudah tinggal di Indonesia 5 tahun berturut-turut atau 10 tahun tidak berturut-turut.</w:t>
      </w:r>
    </w:p>
    <w:p w:rsidR="00654375" w:rsidRPr="001A15FF" w:rsidRDefault="00654375" w:rsidP="00654375">
      <w:pPr>
        <w:spacing w:line="360" w:lineRule="auto"/>
        <w:ind w:firstLine="720"/>
        <w:jc w:val="both"/>
        <w:rPr>
          <w:rFonts w:ascii="Times New Roman" w:eastAsia="Times New Roman" w:hAnsi="Times New Roman" w:cs="Times New Roman"/>
          <w:sz w:val="22"/>
          <w:szCs w:val="22"/>
          <w:lang w:val="id-ID"/>
        </w:rPr>
      </w:pPr>
    </w:p>
    <w:p w:rsidR="00654375" w:rsidRPr="001A15FF" w:rsidRDefault="00654375" w:rsidP="00654375">
      <w:pPr>
        <w:tabs>
          <w:tab w:val="left" w:pos="1025"/>
        </w:tabs>
        <w:spacing w:line="360" w:lineRule="auto"/>
        <w:ind w:hanging="2"/>
        <w:jc w:val="both"/>
        <w:rPr>
          <w:rFonts w:ascii="Times New Roman" w:eastAsia="Times New Roman" w:hAnsi="Times New Roman" w:cs="Times New Roman"/>
          <w:b/>
          <w:bCs/>
          <w:sz w:val="22"/>
          <w:szCs w:val="22"/>
          <w:lang w:val="id-ID"/>
        </w:rPr>
      </w:pPr>
      <w:r w:rsidRPr="001A15FF">
        <w:rPr>
          <w:rFonts w:ascii="Times New Roman" w:eastAsia="Times New Roman" w:hAnsi="Times New Roman" w:cs="Times New Roman"/>
          <w:b/>
          <w:bCs/>
          <w:sz w:val="22"/>
          <w:szCs w:val="22"/>
          <w:lang w:val="id-ID"/>
        </w:rPr>
        <w:t>UCAPAN TERIMA KASIH</w:t>
      </w:r>
    </w:p>
    <w:p w:rsidR="00654375" w:rsidRPr="001A15FF" w:rsidRDefault="00654375" w:rsidP="00D31F1E">
      <w:pPr>
        <w:pStyle w:val="NormalWeb"/>
        <w:shd w:val="clear" w:color="auto" w:fill="FFFFFF"/>
        <w:spacing w:before="0" w:beforeAutospacing="0" w:after="0" w:afterAutospacing="0" w:line="360" w:lineRule="auto"/>
        <w:ind w:firstLine="567"/>
        <w:jc w:val="both"/>
        <w:rPr>
          <w:rFonts w:eastAsia="sans-serif"/>
          <w:sz w:val="22"/>
          <w:szCs w:val="22"/>
        </w:rPr>
      </w:pPr>
      <w:r w:rsidRPr="001A15FF">
        <w:rPr>
          <w:rFonts w:eastAsia="sans-serif"/>
          <w:sz w:val="22"/>
          <w:szCs w:val="22"/>
          <w:shd w:val="clear" w:color="auto" w:fill="FFFFFF"/>
        </w:rPr>
        <w:t>Dengan tulus saya mengucapkan terima kasih kepada semua pihak yang telah berkontribusi dalam penyusunan penelitian ini. Saya ingin mengucapkan terima kasih kepada para dosen dan praktisi pendidikan dari Program Ilmu Hukum Universitas Nusa Cendana. Saran dan masukan yang telah diberikan sangat berharga bagi kelancaran penelitian ini dan penyusunan artikel ini. Semoga penelitian ini dapat bermanfaat bagi dunia pendidikan.</w:t>
      </w:r>
    </w:p>
    <w:p w:rsidR="00654375" w:rsidRPr="001A15FF" w:rsidRDefault="00654375" w:rsidP="00654375">
      <w:pPr>
        <w:pStyle w:val="NormalWeb"/>
        <w:shd w:val="clear" w:color="auto" w:fill="FFFFFF"/>
        <w:spacing w:before="0" w:beforeAutospacing="0" w:after="0" w:afterAutospacing="0" w:line="360" w:lineRule="auto"/>
        <w:jc w:val="both"/>
        <w:rPr>
          <w:rFonts w:eastAsia="sans-serif"/>
          <w:b/>
          <w:bCs/>
          <w:sz w:val="22"/>
          <w:szCs w:val="22"/>
        </w:rPr>
      </w:pPr>
    </w:p>
    <w:p w:rsidR="00654375" w:rsidRPr="001A15FF" w:rsidRDefault="00654375" w:rsidP="00654375">
      <w:pPr>
        <w:pStyle w:val="NormalWeb"/>
        <w:shd w:val="clear" w:color="auto" w:fill="FFFFFF"/>
        <w:spacing w:before="0" w:beforeAutospacing="0" w:after="0" w:afterAutospacing="0" w:line="360" w:lineRule="auto"/>
        <w:jc w:val="both"/>
        <w:rPr>
          <w:rFonts w:eastAsia="sans-serif"/>
          <w:b/>
          <w:bCs/>
          <w:sz w:val="22"/>
          <w:szCs w:val="22"/>
        </w:rPr>
      </w:pPr>
    </w:p>
    <w:p w:rsidR="00654375" w:rsidRPr="001A15FF" w:rsidRDefault="00654375" w:rsidP="00D31F1E">
      <w:pPr>
        <w:pStyle w:val="NormalWeb"/>
        <w:shd w:val="clear" w:color="auto" w:fill="FFFFFF"/>
        <w:spacing w:before="0" w:beforeAutospacing="0" w:after="0" w:afterAutospacing="0" w:line="360" w:lineRule="auto"/>
        <w:jc w:val="both"/>
        <w:rPr>
          <w:sz w:val="22"/>
          <w:szCs w:val="22"/>
          <w:lang w:val="id-ID"/>
        </w:rPr>
      </w:pPr>
      <w:r w:rsidRPr="001A15FF">
        <w:rPr>
          <w:rFonts w:eastAsia="sans-serif"/>
          <w:b/>
          <w:bCs/>
          <w:sz w:val="22"/>
          <w:szCs w:val="22"/>
        </w:rPr>
        <w:t>REFERENSI</w:t>
      </w:r>
    </w:p>
    <w:p w:rsidR="00654375" w:rsidRPr="00D31F1E" w:rsidRDefault="00654375" w:rsidP="00D31F1E">
      <w:pPr>
        <w:pStyle w:val="BodyText"/>
        <w:spacing w:line="360" w:lineRule="auto"/>
        <w:ind w:left="567" w:hanging="567"/>
        <w:rPr>
          <w:sz w:val="22"/>
          <w:szCs w:val="22"/>
        </w:rPr>
      </w:pPr>
      <w:r w:rsidRPr="00D31F1E">
        <w:rPr>
          <w:sz w:val="22"/>
          <w:szCs w:val="22"/>
        </w:rPr>
        <w:t>Abdurrahman, Kompilasi Hukum Islam di Indonesia, Jakarta, Akademika Pressindo, 2010.</w:t>
      </w:r>
    </w:p>
    <w:p w:rsidR="00654375" w:rsidRPr="00D31F1E" w:rsidRDefault="00654375" w:rsidP="00D31F1E">
      <w:pPr>
        <w:pStyle w:val="BodyText"/>
        <w:spacing w:line="360" w:lineRule="auto"/>
        <w:ind w:left="567" w:hanging="567"/>
        <w:rPr>
          <w:sz w:val="22"/>
          <w:szCs w:val="22"/>
        </w:rPr>
      </w:pPr>
      <w:r w:rsidRPr="00D31F1E">
        <w:rPr>
          <w:sz w:val="22"/>
          <w:szCs w:val="22"/>
          <w:lang w:val="en-US"/>
        </w:rPr>
        <w:t>Ellya Rosana, “Hukum dan Perkembangan Masyarakat”, dalam Jurnal TAPIs (Vol. 9 No. 1 Januari-Juni 2013).</w:t>
      </w:r>
    </w:p>
    <w:p w:rsidR="00654375" w:rsidRPr="00D31F1E" w:rsidRDefault="00654375" w:rsidP="00D31F1E">
      <w:pPr>
        <w:pStyle w:val="BodyText"/>
        <w:spacing w:line="360" w:lineRule="auto"/>
        <w:ind w:left="567" w:hanging="567"/>
        <w:rPr>
          <w:bCs/>
          <w:sz w:val="22"/>
          <w:szCs w:val="22"/>
        </w:rPr>
      </w:pPr>
      <w:r w:rsidRPr="00D31F1E">
        <w:rPr>
          <w:bCs/>
          <w:sz w:val="22"/>
          <w:szCs w:val="22"/>
          <w:lang w:val="en-US"/>
        </w:rPr>
        <w:t>Ellya Rosana, “Hukum dan Perkembangan Masyarakat”, dalam Jurnal TAPIs, Vol. 9, No. 1 Januari-Juni 2013.</w:t>
      </w:r>
    </w:p>
    <w:p w:rsidR="00654375" w:rsidRPr="00D31F1E" w:rsidRDefault="00654375" w:rsidP="00D31F1E">
      <w:pPr>
        <w:pStyle w:val="BodyText"/>
        <w:spacing w:line="360" w:lineRule="auto"/>
        <w:ind w:left="567" w:hanging="567"/>
        <w:rPr>
          <w:sz w:val="22"/>
          <w:szCs w:val="22"/>
        </w:rPr>
      </w:pPr>
      <w:r w:rsidRPr="00D31F1E">
        <w:rPr>
          <w:sz w:val="22"/>
          <w:szCs w:val="22"/>
          <w:lang w:val="en-US"/>
        </w:rPr>
        <w:t>H. Ainuddin Abdullah, S.H. Beberapa Materi Kultum : Upaya Meningkatkan Wawasan ke-Islaman, Gairah Beribadah dan Kualitas Ibadah, Banjarmasin: PT. Grafika Wangi, 2020.</w:t>
      </w:r>
    </w:p>
    <w:p w:rsidR="00654375" w:rsidRPr="00D31F1E" w:rsidRDefault="00654375" w:rsidP="00D31F1E">
      <w:pPr>
        <w:pStyle w:val="BodyText"/>
        <w:spacing w:line="360" w:lineRule="auto"/>
        <w:ind w:left="567" w:hanging="567"/>
        <w:rPr>
          <w:color w:val="000000"/>
          <w:sz w:val="22"/>
          <w:szCs w:val="22"/>
          <w:shd w:val="clear" w:color="auto" w:fill="FFFFFF"/>
        </w:rPr>
      </w:pPr>
      <w:r w:rsidRPr="00D31F1E">
        <w:rPr>
          <w:color w:val="000000"/>
          <w:sz w:val="22"/>
          <w:szCs w:val="22"/>
          <w:shd w:val="clear" w:color="auto" w:fill="FFFFFF"/>
          <w:lang w:val="en-US"/>
        </w:rPr>
        <w:t>Hadikusuma, Hilma. Hukum Perkawinan Indonesia. Bandung: Mandar Maju, 1990.</w:t>
      </w:r>
    </w:p>
    <w:p w:rsidR="00654375" w:rsidRPr="00D31F1E" w:rsidRDefault="00654375" w:rsidP="00D31F1E">
      <w:pPr>
        <w:pStyle w:val="BodyText"/>
        <w:spacing w:line="360" w:lineRule="auto"/>
        <w:ind w:left="567" w:hanging="567"/>
        <w:rPr>
          <w:bCs/>
          <w:sz w:val="22"/>
          <w:szCs w:val="22"/>
        </w:rPr>
      </w:pPr>
      <w:r w:rsidRPr="00D31F1E">
        <w:rPr>
          <w:bCs/>
          <w:sz w:val="22"/>
          <w:szCs w:val="22"/>
        </w:rPr>
        <w:t xml:space="preserve">Iren Andriani Rori, “ Perkawinan Campuran Kewarganegaraan Dalam Perspektif Hukum di Indonesia “ </w:t>
      </w:r>
      <w:r w:rsidRPr="00D31F1E">
        <w:rPr>
          <w:bCs/>
          <w:i/>
          <w:iCs/>
          <w:sz w:val="22"/>
          <w:szCs w:val="22"/>
        </w:rPr>
        <w:t xml:space="preserve">Lex Et Societatis, </w:t>
      </w:r>
      <w:r w:rsidRPr="00D31F1E">
        <w:rPr>
          <w:bCs/>
          <w:sz w:val="22"/>
          <w:szCs w:val="22"/>
        </w:rPr>
        <w:t>Vol 3, Nomor 3, 2015</w:t>
      </w:r>
    </w:p>
    <w:p w:rsidR="00654375" w:rsidRPr="00D31F1E" w:rsidRDefault="00654375" w:rsidP="00D31F1E">
      <w:pPr>
        <w:pStyle w:val="BodyText"/>
        <w:spacing w:line="360" w:lineRule="auto"/>
        <w:ind w:left="567" w:hanging="567"/>
        <w:rPr>
          <w:sz w:val="22"/>
          <w:szCs w:val="22"/>
        </w:rPr>
      </w:pPr>
      <w:r w:rsidRPr="00D31F1E">
        <w:rPr>
          <w:sz w:val="22"/>
          <w:szCs w:val="22"/>
        </w:rPr>
        <w:t xml:space="preserve">Junaedi Karso, </w:t>
      </w:r>
      <w:r w:rsidRPr="00D31F1E">
        <w:rPr>
          <w:i/>
          <w:iCs/>
          <w:sz w:val="22"/>
          <w:szCs w:val="22"/>
        </w:rPr>
        <w:t>Perkawinan Campuran &amp; Kesejahteraan,</w:t>
      </w:r>
      <w:r w:rsidRPr="00D31F1E">
        <w:rPr>
          <w:sz w:val="22"/>
          <w:szCs w:val="22"/>
        </w:rPr>
        <w:t xml:space="preserve"> Samudera Biru, Yogyakarta 2021.</w:t>
      </w:r>
    </w:p>
    <w:p w:rsidR="00654375" w:rsidRPr="00D31F1E" w:rsidRDefault="00654375" w:rsidP="00D31F1E">
      <w:pPr>
        <w:pStyle w:val="BodyText"/>
        <w:spacing w:line="360" w:lineRule="auto"/>
        <w:ind w:left="567" w:hanging="567"/>
        <w:rPr>
          <w:color w:val="000000"/>
          <w:sz w:val="22"/>
          <w:szCs w:val="22"/>
          <w:shd w:val="clear" w:color="auto" w:fill="FFFFFF"/>
        </w:rPr>
      </w:pPr>
      <w:r w:rsidRPr="00D31F1E">
        <w:rPr>
          <w:sz w:val="22"/>
          <w:szCs w:val="22"/>
        </w:rPr>
        <w:t>Ketut Mandra dan I. Ketut Artadi,</w:t>
      </w:r>
      <w:r w:rsidRPr="00D31F1E">
        <w:rPr>
          <w:color w:val="000000"/>
          <w:sz w:val="22"/>
          <w:szCs w:val="22"/>
          <w:shd w:val="clear" w:color="auto" w:fill="FFFFFF"/>
        </w:rPr>
        <w:t xml:space="preserve"> Hukum adat Bali dengan aneka masalahnya,Bali, Sumber Mas Bali, 1981.</w:t>
      </w:r>
    </w:p>
    <w:p w:rsidR="00654375" w:rsidRPr="00D31F1E" w:rsidRDefault="00654375" w:rsidP="00D31F1E">
      <w:pPr>
        <w:pStyle w:val="BodyText"/>
        <w:spacing w:line="360" w:lineRule="auto"/>
        <w:ind w:left="567" w:hanging="567"/>
        <w:rPr>
          <w:color w:val="000000"/>
          <w:sz w:val="22"/>
          <w:szCs w:val="22"/>
          <w:shd w:val="clear" w:color="auto" w:fill="FFFFFF"/>
        </w:rPr>
      </w:pPr>
      <w:r w:rsidRPr="00D31F1E">
        <w:rPr>
          <w:color w:val="000000"/>
          <w:sz w:val="22"/>
          <w:szCs w:val="22"/>
          <w:shd w:val="clear" w:color="auto" w:fill="FFFFFF"/>
          <w:lang w:val="en-US"/>
        </w:rPr>
        <w:t>Khoiruddin Nasution, Hukum Perkawinan I, Dilengkapi Dengan Perbandingan UU Negara Muslim Kontemporer, Yogyakarta: Tazzafa &amp; AcadeMIA, 2004.</w:t>
      </w:r>
    </w:p>
    <w:p w:rsidR="00654375" w:rsidRPr="00D31F1E" w:rsidRDefault="00654375" w:rsidP="00D31F1E">
      <w:pPr>
        <w:pStyle w:val="BodyText"/>
        <w:spacing w:line="360" w:lineRule="auto"/>
        <w:ind w:left="567" w:hanging="567"/>
        <w:rPr>
          <w:bCs/>
          <w:sz w:val="22"/>
          <w:szCs w:val="22"/>
          <w:lang w:val="en-US"/>
        </w:rPr>
      </w:pPr>
      <w:r w:rsidRPr="00D31F1E">
        <w:rPr>
          <w:bCs/>
          <w:sz w:val="22"/>
          <w:szCs w:val="22"/>
          <w:lang w:val="en-US"/>
        </w:rPr>
        <w:t>Leonora Bakarbessy dan Sri Handajani, “Kewarganegaraan Ganda Anak Dalam Perkawinan Campuran dan Implikasinya Dalam Hukum Perdata Internasional”, Jurnal Perpsektif, Vol. XVII, No. 1 Tahun 2012.</w:t>
      </w:r>
    </w:p>
    <w:p w:rsidR="00654375" w:rsidRPr="00D31F1E" w:rsidRDefault="00654375" w:rsidP="00D31F1E">
      <w:pPr>
        <w:pStyle w:val="BodyText"/>
        <w:spacing w:line="360" w:lineRule="auto"/>
        <w:ind w:left="567" w:hanging="567"/>
        <w:rPr>
          <w:bCs/>
          <w:i/>
          <w:iCs/>
          <w:sz w:val="22"/>
          <w:szCs w:val="22"/>
        </w:rPr>
      </w:pPr>
      <w:r w:rsidRPr="00D31F1E">
        <w:rPr>
          <w:bCs/>
          <w:sz w:val="22"/>
          <w:szCs w:val="22"/>
        </w:rPr>
        <w:t>Markuat,” Dampak penetapan bagi sebuah negara dalam pemenuhan kebutuhan berdasarkan asas keadilan “ Jurnal penelitian Indonesia, Vol 3, Nomor 1, 2022</w:t>
      </w:r>
    </w:p>
    <w:p w:rsidR="00654375" w:rsidRPr="00D31F1E" w:rsidRDefault="00654375" w:rsidP="00D31F1E">
      <w:pPr>
        <w:pStyle w:val="BodyText"/>
        <w:spacing w:line="360" w:lineRule="auto"/>
        <w:ind w:left="567" w:hanging="567"/>
        <w:rPr>
          <w:sz w:val="22"/>
          <w:szCs w:val="22"/>
        </w:rPr>
      </w:pPr>
      <w:r w:rsidRPr="00D31F1E">
        <w:rPr>
          <w:sz w:val="22"/>
          <w:szCs w:val="22"/>
        </w:rPr>
        <w:t>Mukti Fajar dan Yulianto Achmad, Dualisme penelitian hukum normative &amp; empiris, Yogyakarta, Pustaka Pelajar, 2015</w:t>
      </w:r>
    </w:p>
    <w:p w:rsidR="00654375" w:rsidRPr="00D31F1E" w:rsidRDefault="00654375" w:rsidP="00D31F1E">
      <w:pPr>
        <w:pStyle w:val="BodyText"/>
        <w:spacing w:line="360" w:lineRule="auto"/>
        <w:ind w:left="567" w:hanging="567"/>
        <w:rPr>
          <w:bCs/>
          <w:sz w:val="22"/>
          <w:szCs w:val="22"/>
        </w:rPr>
      </w:pPr>
      <w:r w:rsidRPr="00D31F1E">
        <w:rPr>
          <w:bCs/>
          <w:sz w:val="22"/>
          <w:szCs w:val="22"/>
        </w:rPr>
        <w:t>Ni Kadek Oktaviani, I Ketut Widia dan I Ketut Sukanda,”Jurnal Analogi Hukum, Volume 3, Nomor 1, 2021</w:t>
      </w:r>
    </w:p>
    <w:p w:rsidR="00654375" w:rsidRPr="00D31F1E" w:rsidRDefault="00654375" w:rsidP="00D31F1E">
      <w:pPr>
        <w:pStyle w:val="BodyText"/>
        <w:spacing w:line="360" w:lineRule="auto"/>
        <w:ind w:left="567" w:hanging="567"/>
        <w:rPr>
          <w:color w:val="000000"/>
          <w:sz w:val="22"/>
          <w:szCs w:val="22"/>
          <w:shd w:val="clear" w:color="auto" w:fill="FFFFFF"/>
        </w:rPr>
      </w:pPr>
      <w:r w:rsidRPr="00D31F1E">
        <w:rPr>
          <w:color w:val="000000"/>
          <w:sz w:val="22"/>
          <w:szCs w:val="22"/>
          <w:shd w:val="clear" w:color="auto" w:fill="FFFFFF"/>
        </w:rPr>
        <w:t xml:space="preserve">Peter Mahmud Marzuki, Penelitian Hukum, Jakarta, Kencana, 2011  </w:t>
      </w:r>
    </w:p>
    <w:p w:rsidR="00654375" w:rsidRPr="00D31F1E" w:rsidRDefault="00654375" w:rsidP="00D31F1E">
      <w:pPr>
        <w:pStyle w:val="BodyText"/>
        <w:spacing w:line="360" w:lineRule="auto"/>
        <w:ind w:left="567" w:hanging="567"/>
        <w:rPr>
          <w:sz w:val="22"/>
          <w:szCs w:val="22"/>
        </w:rPr>
      </w:pPr>
      <w:r w:rsidRPr="00D31F1E">
        <w:rPr>
          <w:sz w:val="22"/>
          <w:szCs w:val="22"/>
        </w:rPr>
        <w:t>Ranuhandoko, Terminologi Hukum, Jakarta ,Grafika, 2003</w:t>
      </w:r>
    </w:p>
    <w:p w:rsidR="00654375" w:rsidRPr="00D31F1E" w:rsidRDefault="00654375" w:rsidP="00D31F1E">
      <w:pPr>
        <w:pStyle w:val="BodyText"/>
        <w:spacing w:line="360" w:lineRule="auto"/>
        <w:ind w:left="567" w:hanging="567"/>
        <w:rPr>
          <w:sz w:val="22"/>
          <w:szCs w:val="22"/>
        </w:rPr>
      </w:pPr>
      <w:r w:rsidRPr="00D31F1E">
        <w:rPr>
          <w:sz w:val="22"/>
          <w:szCs w:val="22"/>
        </w:rPr>
        <w:t>Ronny Hanitijo Soemitro. Metodologi Penelitian Hukum, Jakarta, Ghalia Indonesia, 1983</w:t>
      </w:r>
    </w:p>
    <w:p w:rsidR="00654375" w:rsidRPr="00D31F1E" w:rsidRDefault="00654375" w:rsidP="00D31F1E">
      <w:pPr>
        <w:pStyle w:val="BodyText"/>
        <w:spacing w:line="360" w:lineRule="auto"/>
        <w:ind w:left="567" w:hanging="567"/>
        <w:rPr>
          <w:rStyle w:val="Strong"/>
          <w:b w:val="0"/>
          <w:bCs w:val="0"/>
          <w:color w:val="333333"/>
          <w:sz w:val="22"/>
          <w:szCs w:val="22"/>
          <w:shd w:val="clear" w:color="auto" w:fill="FFFFFF"/>
        </w:rPr>
      </w:pPr>
      <w:r w:rsidRPr="00D31F1E">
        <w:rPr>
          <w:sz w:val="22"/>
          <w:szCs w:val="22"/>
        </w:rPr>
        <w:t>Rusli dan R. Tama, P</w:t>
      </w:r>
      <w:r w:rsidRPr="00D31F1E">
        <w:rPr>
          <w:rStyle w:val="Strong"/>
          <w:b w:val="0"/>
          <w:color w:val="333333"/>
          <w:sz w:val="22"/>
          <w:szCs w:val="22"/>
          <w:shd w:val="clear" w:color="auto" w:fill="FFFFFF"/>
        </w:rPr>
        <w:t>erkawinan Antar Agama Dan Masalahnya, Bandung, Pionir Jaya, 1986</w:t>
      </w:r>
    </w:p>
    <w:p w:rsidR="00654375" w:rsidRPr="00D31F1E" w:rsidRDefault="00654375" w:rsidP="00D31F1E">
      <w:pPr>
        <w:pStyle w:val="BodyText"/>
        <w:spacing w:line="360" w:lineRule="auto"/>
        <w:ind w:left="567" w:hanging="567"/>
        <w:rPr>
          <w:bCs/>
          <w:sz w:val="22"/>
          <w:szCs w:val="22"/>
        </w:rPr>
      </w:pPr>
      <w:r w:rsidRPr="00D31F1E">
        <w:rPr>
          <w:bCs/>
          <w:sz w:val="22"/>
          <w:szCs w:val="22"/>
        </w:rPr>
        <w:t>Santoso, Hakekat perkawinan menurut undang-undang perkawinan, hukum islam dan hukum adat,Unissula semarang,  2016</w:t>
      </w:r>
    </w:p>
    <w:p w:rsidR="00654375" w:rsidRPr="00D31F1E" w:rsidRDefault="00654375" w:rsidP="00D31F1E">
      <w:pPr>
        <w:pStyle w:val="BodyText"/>
        <w:spacing w:line="360" w:lineRule="auto"/>
        <w:ind w:left="567" w:hanging="567"/>
        <w:rPr>
          <w:bCs/>
          <w:sz w:val="22"/>
          <w:szCs w:val="22"/>
        </w:rPr>
      </w:pPr>
      <w:r w:rsidRPr="00D31F1E">
        <w:rPr>
          <w:bCs/>
          <w:sz w:val="22"/>
          <w:szCs w:val="22"/>
        </w:rPr>
        <w:t>Sasmiar, “ Perkawinan Campuran dan Akibat Hukumnya “ Jurnal Ilmu Hukum Jambi, Vol 2, Nomor 2, 2011</w:t>
      </w:r>
    </w:p>
    <w:p w:rsidR="00654375" w:rsidRPr="00D31F1E" w:rsidRDefault="00654375" w:rsidP="00D31F1E">
      <w:pPr>
        <w:pStyle w:val="BodyText"/>
        <w:spacing w:line="360" w:lineRule="auto"/>
        <w:ind w:left="567" w:hanging="567"/>
        <w:rPr>
          <w:sz w:val="22"/>
          <w:szCs w:val="22"/>
        </w:rPr>
      </w:pPr>
      <w:r w:rsidRPr="00D31F1E">
        <w:rPr>
          <w:color w:val="000000"/>
          <w:sz w:val="22"/>
          <w:szCs w:val="22"/>
          <w:shd w:val="clear" w:color="auto" w:fill="FFFFFF"/>
        </w:rPr>
        <w:t>Soerjono Soekanto, Pengantar Penelitian Hukum, Jakarta, Universitas Indonesia 2010</w:t>
      </w:r>
    </w:p>
    <w:p w:rsidR="00654375" w:rsidRPr="00D31F1E" w:rsidRDefault="00654375" w:rsidP="00D31F1E">
      <w:pPr>
        <w:pStyle w:val="BodyText"/>
        <w:spacing w:line="360" w:lineRule="auto"/>
        <w:ind w:left="567" w:hanging="567"/>
        <w:rPr>
          <w:sz w:val="22"/>
          <w:szCs w:val="22"/>
        </w:rPr>
      </w:pPr>
      <w:r w:rsidRPr="00D31F1E">
        <w:rPr>
          <w:sz w:val="22"/>
          <w:szCs w:val="22"/>
        </w:rPr>
        <w:t>Subekti, Pokok-Pokok Hukum Perdata, Bandung, Intermasa, 1992.</w:t>
      </w:r>
    </w:p>
    <w:p w:rsidR="00654375" w:rsidRPr="00D31F1E" w:rsidRDefault="00654375" w:rsidP="00D31F1E">
      <w:pPr>
        <w:pStyle w:val="BodyText"/>
        <w:spacing w:line="360" w:lineRule="auto"/>
        <w:ind w:left="567" w:hanging="567"/>
        <w:rPr>
          <w:color w:val="000000"/>
          <w:sz w:val="22"/>
          <w:szCs w:val="22"/>
          <w:shd w:val="clear" w:color="auto" w:fill="FFFFFF"/>
        </w:rPr>
      </w:pPr>
      <w:r w:rsidRPr="00D31F1E">
        <w:rPr>
          <w:color w:val="000000"/>
          <w:sz w:val="22"/>
          <w:szCs w:val="22"/>
          <w:shd w:val="clear" w:color="auto" w:fill="FFFFFF"/>
          <w:lang w:val="en-US"/>
        </w:rPr>
        <w:t>Subekti.Pokok-Pokokhukum Perdata, Intermasa, Jakarta,1984.</w:t>
      </w:r>
    </w:p>
    <w:p w:rsidR="00654375" w:rsidRPr="00D31F1E" w:rsidRDefault="00654375" w:rsidP="00D31F1E">
      <w:pPr>
        <w:pStyle w:val="BodyText"/>
        <w:spacing w:line="360" w:lineRule="auto"/>
        <w:ind w:left="567" w:hanging="567"/>
        <w:rPr>
          <w:bCs/>
          <w:sz w:val="22"/>
          <w:szCs w:val="22"/>
        </w:rPr>
      </w:pPr>
      <w:r w:rsidRPr="00D31F1E">
        <w:rPr>
          <w:bCs/>
          <w:sz w:val="22"/>
          <w:szCs w:val="22"/>
        </w:rPr>
        <w:t>Sudargo Gautama, “ Perkawinan campuran di Indonesia ditinjau berdasarkan sejarah hukum, periode 1848-1990”, Jurnal hukum &amp; Pembangunan, Vol. 0 No. 198, October 2009</w:t>
      </w:r>
    </w:p>
    <w:p w:rsidR="00654375" w:rsidRPr="00D31F1E" w:rsidRDefault="00654375" w:rsidP="00D31F1E">
      <w:pPr>
        <w:pStyle w:val="BodyText"/>
        <w:spacing w:line="360" w:lineRule="auto"/>
        <w:ind w:left="567" w:hanging="567"/>
        <w:rPr>
          <w:sz w:val="22"/>
          <w:szCs w:val="22"/>
        </w:rPr>
      </w:pPr>
      <w:r w:rsidRPr="00D31F1E">
        <w:rPr>
          <w:sz w:val="22"/>
          <w:szCs w:val="22"/>
        </w:rPr>
        <w:t>Sudargo Gautama, Segi-segi hukum peraturan perkawinan campuran, Bandung, Citra Aditya Bakti, 1996.</w:t>
      </w:r>
    </w:p>
    <w:p w:rsidR="00654375" w:rsidRPr="00D31F1E" w:rsidRDefault="00654375" w:rsidP="00D31F1E">
      <w:pPr>
        <w:pStyle w:val="BodyText"/>
        <w:spacing w:line="360" w:lineRule="auto"/>
        <w:ind w:left="567" w:hanging="567"/>
        <w:rPr>
          <w:sz w:val="22"/>
          <w:szCs w:val="22"/>
        </w:rPr>
      </w:pPr>
      <w:r w:rsidRPr="00D31F1E">
        <w:rPr>
          <w:sz w:val="22"/>
          <w:szCs w:val="22"/>
        </w:rPr>
        <w:t>Sugiyono, Metode Penelitian Kuantitatif, Kualitatif Dan R&amp;D, Bandung, Alfabeta, 2019</w:t>
      </w:r>
    </w:p>
    <w:p w:rsidR="00654375" w:rsidRPr="00D31F1E" w:rsidRDefault="00654375" w:rsidP="00D31F1E">
      <w:pPr>
        <w:pStyle w:val="BodyText"/>
        <w:spacing w:line="360" w:lineRule="auto"/>
        <w:ind w:left="567" w:hanging="567"/>
        <w:rPr>
          <w:sz w:val="22"/>
          <w:szCs w:val="22"/>
        </w:rPr>
      </w:pPr>
      <w:r w:rsidRPr="00D31F1E">
        <w:rPr>
          <w:color w:val="212529"/>
          <w:sz w:val="22"/>
          <w:szCs w:val="22"/>
          <w:shd w:val="clear" w:color="auto" w:fill="FFFFFF"/>
        </w:rPr>
        <w:t>Surat Edaran Nomor 2 Tahun 2023 tentang Petunjuk Bagi Hakim Dalam Mengadili Perkara Permohonan Pencatatan Perkawinan Antar-Umat yang Berbeda Agama dan Kepercayaan</w:t>
      </w:r>
    </w:p>
    <w:p w:rsidR="00654375" w:rsidRPr="00D31F1E" w:rsidRDefault="00654375" w:rsidP="00D31F1E">
      <w:pPr>
        <w:pStyle w:val="BodyText"/>
        <w:spacing w:line="360" w:lineRule="auto"/>
        <w:ind w:left="567" w:hanging="567"/>
        <w:rPr>
          <w:sz w:val="22"/>
          <w:szCs w:val="22"/>
        </w:rPr>
      </w:pPr>
      <w:r w:rsidRPr="00D31F1E">
        <w:rPr>
          <w:sz w:val="22"/>
          <w:szCs w:val="22"/>
        </w:rPr>
        <w:t>Sutandyo Wigyosubroto, Hukum : Paradigma, Metode dan Dinamika Permasalahnnya, Jakarta, Huma, 2002</w:t>
      </w:r>
    </w:p>
    <w:p w:rsidR="00654375" w:rsidRPr="00D31F1E" w:rsidRDefault="00654375" w:rsidP="00D31F1E">
      <w:pPr>
        <w:pStyle w:val="BodyText"/>
        <w:spacing w:line="360" w:lineRule="auto"/>
        <w:ind w:left="567" w:hanging="567"/>
        <w:rPr>
          <w:color w:val="000000"/>
          <w:sz w:val="22"/>
          <w:szCs w:val="22"/>
          <w:shd w:val="clear" w:color="auto" w:fill="FFFFFF"/>
        </w:rPr>
      </w:pPr>
      <w:r w:rsidRPr="00D31F1E">
        <w:rPr>
          <w:color w:val="000000"/>
          <w:sz w:val="22"/>
          <w:szCs w:val="22"/>
          <w:shd w:val="clear" w:color="auto" w:fill="FFFFFF"/>
          <w:lang w:val="en-US"/>
        </w:rPr>
        <w:t>Syahrani Riduan. Seluk - Beluk Dan Asas – Asas Hukum Perdata. Penerbit Alumni, Bandung, 1985.</w:t>
      </w:r>
    </w:p>
    <w:p w:rsidR="00654375" w:rsidRPr="00D31F1E" w:rsidRDefault="00654375" w:rsidP="00D31F1E">
      <w:pPr>
        <w:pStyle w:val="BodyText"/>
        <w:spacing w:line="360" w:lineRule="auto"/>
        <w:ind w:left="567" w:hanging="567"/>
        <w:rPr>
          <w:sz w:val="22"/>
          <w:szCs w:val="22"/>
        </w:rPr>
      </w:pPr>
      <w:r w:rsidRPr="00D31F1E">
        <w:rPr>
          <w:sz w:val="22"/>
          <w:szCs w:val="22"/>
        </w:rPr>
        <w:t>Undang-Undang Republik Indonesia Nomor 1 Tahun 1974, Tentang Lembaran Negara tahun 1974 No.1, Tambahan Lembaran Negara No. 201s9</w:t>
      </w:r>
    </w:p>
    <w:p w:rsidR="00654375" w:rsidRPr="00D31F1E" w:rsidRDefault="00654375" w:rsidP="00D31F1E">
      <w:pPr>
        <w:pStyle w:val="BodyText"/>
        <w:spacing w:line="360" w:lineRule="auto"/>
        <w:ind w:left="567" w:hanging="567"/>
        <w:rPr>
          <w:sz w:val="22"/>
          <w:szCs w:val="22"/>
        </w:rPr>
      </w:pPr>
      <w:r w:rsidRPr="00D31F1E">
        <w:rPr>
          <w:bCs/>
          <w:sz w:val="22"/>
          <w:szCs w:val="22"/>
        </w:rPr>
        <w:t>Wenny dayanty,”</w:t>
      </w:r>
      <w:r w:rsidRPr="00D31F1E">
        <w:rPr>
          <w:rFonts w:eastAsiaTheme="minorHAnsi"/>
          <w:sz w:val="22"/>
          <w:szCs w:val="22"/>
          <w:lang w:val="en-US"/>
        </w:rPr>
        <w:t xml:space="preserve"> </w:t>
      </w:r>
      <w:r w:rsidRPr="00D31F1E">
        <w:rPr>
          <w:bCs/>
          <w:sz w:val="22"/>
          <w:szCs w:val="22"/>
          <w:lang w:val="en-US"/>
        </w:rPr>
        <w:t>Analisis Yuridis Terhadap Legalitas Pernikahan Beda Agama Di Indonesia”,</w:t>
      </w:r>
      <w:r w:rsidRPr="00D31F1E">
        <w:rPr>
          <w:rFonts w:eastAsiaTheme="minorHAnsi"/>
          <w:sz w:val="22"/>
          <w:szCs w:val="22"/>
          <w:lang w:val="en-US"/>
        </w:rPr>
        <w:t xml:space="preserve"> </w:t>
      </w:r>
      <w:r w:rsidRPr="00D31F1E">
        <w:rPr>
          <w:bCs/>
          <w:sz w:val="22"/>
          <w:szCs w:val="22"/>
          <w:lang w:val="en-US"/>
        </w:rPr>
        <w:t>Fakultas Syari’ah Dan Hukum Universitas Islam Negeri Ar-Raniry Banda Aceh,2023</w:t>
      </w:r>
    </w:p>
    <w:p w:rsidR="00654375" w:rsidRPr="00D31F1E" w:rsidRDefault="00654375" w:rsidP="00D31F1E">
      <w:pPr>
        <w:pStyle w:val="BodyText"/>
        <w:spacing w:line="360" w:lineRule="auto"/>
        <w:ind w:left="567" w:hanging="567"/>
        <w:rPr>
          <w:sz w:val="22"/>
          <w:szCs w:val="22"/>
        </w:rPr>
      </w:pPr>
      <w:r w:rsidRPr="00D31F1E">
        <w:rPr>
          <w:sz w:val="22"/>
          <w:szCs w:val="22"/>
        </w:rPr>
        <w:t>Wiryono Prodjodikoro, Hukum Perkawinan di Indonesia, Bandung, Sumur, 1984</w:t>
      </w:r>
    </w:p>
    <w:p w:rsidR="00E2101A" w:rsidRPr="00E2101A" w:rsidRDefault="00E2101A" w:rsidP="00654375">
      <w:pPr>
        <w:pStyle w:val="BodyText"/>
        <w:spacing w:line="360" w:lineRule="auto"/>
        <w:ind w:left="0" w:firstLine="567"/>
        <w:rPr>
          <w:color w:val="000000" w:themeColor="text1"/>
          <w:sz w:val="22"/>
          <w:szCs w:val="22"/>
          <w:lang w:val="id-ID" w:eastAsia="id-ID"/>
        </w:rPr>
      </w:pPr>
    </w:p>
    <w:sectPr w:rsidR="00E2101A" w:rsidRPr="00E2101A" w:rsidSect="00D31F1E">
      <w:headerReference w:type="even" r:id="rId8"/>
      <w:headerReference w:type="default" r:id="rId9"/>
      <w:headerReference w:type="first" r:id="rId10"/>
      <w:pgSz w:w="11904" w:h="16836"/>
      <w:pgMar w:top="1440" w:right="1440" w:bottom="1440" w:left="1440" w:header="708" w:footer="708" w:gutter="0"/>
      <w:pgNumType w:start="168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175" w:rsidRDefault="00197175" w:rsidP="004845BE">
      <w:r>
        <w:separator/>
      </w:r>
    </w:p>
  </w:endnote>
  <w:endnote w:type="continuationSeparator" w:id="0">
    <w:p w:rsidR="00197175" w:rsidRDefault="00197175" w:rsidP="00484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ans-serif">
    <w:altName w:val="Segoe Print"/>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175" w:rsidRDefault="00197175" w:rsidP="004845BE">
      <w:r>
        <w:separator/>
      </w:r>
    </w:p>
  </w:footnote>
  <w:footnote w:type="continuationSeparator" w:id="0">
    <w:p w:rsidR="00197175" w:rsidRDefault="00197175" w:rsidP="004845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9ED" w:rsidRPr="004845BE" w:rsidRDefault="00EF39ED" w:rsidP="00D349A4">
    <w:pPr>
      <w:pBdr>
        <w:top w:val="nil"/>
        <w:left w:val="nil"/>
        <w:bottom w:val="nil"/>
        <w:right w:val="nil"/>
        <w:between w:val="nil"/>
      </w:pBdr>
      <w:tabs>
        <w:tab w:val="left" w:pos="709"/>
      </w:tabs>
      <w:ind w:leftChars="-1" w:hangingChars="1" w:hanging="2"/>
      <w:jc w:val="both"/>
      <w:rPr>
        <w:rFonts w:ascii="Times New Roman" w:hAnsi="Times New Roman" w:cs="Times New Roman"/>
        <w:b/>
        <w:i/>
        <w:color w:val="000000"/>
        <w:sz w:val="18"/>
        <w:szCs w:val="18"/>
      </w:rPr>
    </w:pPr>
    <w:r w:rsidRPr="004845BE">
      <w:rPr>
        <w:rFonts w:ascii="Times New Roman" w:hAnsi="Times New Roman" w:cs="Times New Roman"/>
        <w:color w:val="000000"/>
        <w:sz w:val="18"/>
        <w:szCs w:val="18"/>
      </w:rPr>
      <w:fldChar w:fldCharType="begin"/>
    </w:r>
    <w:r w:rsidRPr="004845BE">
      <w:rPr>
        <w:rFonts w:ascii="Times New Roman" w:hAnsi="Times New Roman" w:cs="Times New Roman"/>
        <w:color w:val="000000"/>
        <w:sz w:val="18"/>
        <w:szCs w:val="18"/>
      </w:rPr>
      <w:instrText>PAGE</w:instrText>
    </w:r>
    <w:r w:rsidRPr="004845BE">
      <w:rPr>
        <w:rFonts w:ascii="Times New Roman" w:hAnsi="Times New Roman" w:cs="Times New Roman"/>
        <w:color w:val="000000"/>
        <w:sz w:val="18"/>
        <w:szCs w:val="18"/>
      </w:rPr>
      <w:fldChar w:fldCharType="separate"/>
    </w:r>
    <w:r w:rsidR="00D31F1E">
      <w:rPr>
        <w:rFonts w:ascii="Times New Roman" w:hAnsi="Times New Roman" w:cs="Times New Roman"/>
        <w:noProof/>
        <w:color w:val="000000"/>
        <w:sz w:val="18"/>
        <w:szCs w:val="18"/>
      </w:rPr>
      <w:t>1702</w:t>
    </w:r>
    <w:r w:rsidRPr="004845BE">
      <w:rPr>
        <w:rFonts w:ascii="Times New Roman" w:hAnsi="Times New Roman" w:cs="Times New Roman"/>
        <w:color w:val="000000"/>
        <w:sz w:val="18"/>
        <w:szCs w:val="18"/>
      </w:rPr>
      <w:fldChar w:fldCharType="end"/>
    </w:r>
    <w:r w:rsidRPr="004845BE">
      <w:rPr>
        <w:rFonts w:ascii="Times New Roman" w:hAnsi="Times New Roman" w:cs="Times New Roman"/>
        <w:color w:val="000000"/>
        <w:sz w:val="18"/>
        <w:szCs w:val="18"/>
      </w:rPr>
      <w:t xml:space="preserve"> </w:t>
    </w:r>
    <w:r w:rsidRPr="004845BE">
      <w:rPr>
        <w:rFonts w:ascii="Times New Roman" w:hAnsi="Times New Roman" w:cs="Times New Roman"/>
        <w:b/>
        <w:color w:val="000000"/>
        <w:sz w:val="18"/>
        <w:szCs w:val="18"/>
      </w:rPr>
      <w:t xml:space="preserve"> </w:t>
    </w:r>
    <w:r w:rsidRPr="004845BE">
      <w:rPr>
        <w:rFonts w:ascii="Times New Roman" w:hAnsi="Times New Roman" w:cs="Times New Roman"/>
        <w:b/>
        <w:i/>
        <w:color w:val="000000"/>
        <w:sz w:val="18"/>
        <w:szCs w:val="18"/>
      </w:rPr>
      <w:tab/>
    </w:r>
    <w:r w:rsidRPr="004845BE">
      <w:rPr>
        <w:rFonts w:ascii="Times New Roman" w:hAnsi="Times New Roman" w:cs="Times New Roman"/>
        <w:b/>
        <w:i/>
        <w:color w:val="000000"/>
        <w:sz w:val="18"/>
        <w:szCs w:val="18"/>
      </w:rPr>
      <w:tab/>
      <w:t xml:space="preserve"> </w:t>
    </w:r>
    <w:r w:rsidR="00BF370E">
      <w:rPr>
        <w:rFonts w:ascii="Times New Roman" w:hAnsi="Times New Roman" w:cs="Times New Roman"/>
        <w:b/>
        <w:i/>
        <w:color w:val="000000"/>
        <w:sz w:val="18"/>
        <w:szCs w:val="18"/>
      </w:rPr>
      <w:t xml:space="preserve">              </w:t>
    </w:r>
    <w:r w:rsidRPr="004845BE">
      <w:rPr>
        <w:rFonts w:ascii="Times New Roman" w:hAnsi="Times New Roman" w:cs="Times New Roman"/>
        <w:b/>
        <w:i/>
        <w:color w:val="000000"/>
        <w:sz w:val="18"/>
        <w:szCs w:val="18"/>
      </w:rPr>
      <w:t>Jurnal Pustaka Cendekia Hukum dan Ilmu Sosial</w:t>
    </w:r>
    <w:r w:rsidR="00533FFE">
      <w:rPr>
        <w:rFonts w:ascii="Times New Roman" w:hAnsi="Times New Roman" w:cs="Times New Roman"/>
        <w:i/>
        <w:color w:val="000000"/>
        <w:sz w:val="18"/>
        <w:szCs w:val="18"/>
      </w:rPr>
      <w:t>, Volume 4, No. 1</w:t>
    </w:r>
    <w:r w:rsidRPr="004845BE">
      <w:rPr>
        <w:rFonts w:ascii="Times New Roman" w:hAnsi="Times New Roman" w:cs="Times New Roman"/>
        <w:i/>
        <w:color w:val="000000"/>
        <w:sz w:val="18"/>
        <w:szCs w:val="18"/>
      </w:rPr>
      <w:t xml:space="preserve">, </w:t>
    </w:r>
    <w:r w:rsidR="00533FFE">
      <w:rPr>
        <w:rFonts w:ascii="Times New Roman" w:hAnsi="Times New Roman" w:cs="Times New Roman"/>
        <w:color w:val="000000"/>
        <w:sz w:val="18"/>
        <w:szCs w:val="18"/>
      </w:rPr>
      <w:t>February-May</w:t>
    </w:r>
    <w:r>
      <w:rPr>
        <w:rFonts w:ascii="Times New Roman" w:hAnsi="Times New Roman" w:cs="Times New Roman"/>
        <w:color w:val="000000"/>
        <w:sz w:val="18"/>
        <w:szCs w:val="18"/>
      </w:rPr>
      <w:t xml:space="preserve"> 2026</w:t>
    </w:r>
    <w:r w:rsidRPr="004845BE">
      <w:rPr>
        <w:rFonts w:ascii="Times New Roman" w:hAnsi="Times New Roman" w:cs="Times New Roman"/>
        <w:i/>
        <w:color w:val="000000"/>
        <w:sz w:val="18"/>
        <w:szCs w:val="18"/>
      </w:rPr>
      <w:t xml:space="preserve">, hal. </w:t>
    </w:r>
    <w:r w:rsidR="00D31F1E" w:rsidRPr="00D31F1E">
      <w:rPr>
        <w:rFonts w:ascii="Times New Roman" w:hAnsi="Times New Roman" w:cs="Times New Roman"/>
        <w:color w:val="000000"/>
        <w:sz w:val="18"/>
        <w:szCs w:val="18"/>
      </w:rPr>
      <w:t>1682</w:t>
    </w:r>
    <w:r w:rsidR="00D31F1E">
      <w:rPr>
        <w:rFonts w:ascii="Times New Roman" w:hAnsi="Times New Roman" w:cs="Times New Roman"/>
        <w:color w:val="000000"/>
        <w:sz w:val="18"/>
        <w:szCs w:val="18"/>
      </w:rPr>
      <w:t>-</w:t>
    </w:r>
    <w:r w:rsidR="00D31F1E" w:rsidRPr="00B561DB">
      <w:rPr>
        <w:rFonts w:ascii="Times New Roman" w:hAnsi="Times New Roman" w:cs="Times New Roman"/>
        <w:color w:val="000000"/>
        <w:sz w:val="18"/>
        <w:szCs w:val="18"/>
      </w:rPr>
      <w:t>1</w:t>
    </w:r>
    <w:r w:rsidR="00D31F1E">
      <w:rPr>
        <w:rFonts w:ascii="Times New Roman" w:hAnsi="Times New Roman" w:cs="Times New Roman"/>
        <w:color w:val="000000"/>
        <w:sz w:val="18"/>
        <w:szCs w:val="18"/>
      </w:rPr>
      <w:t>710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9ED" w:rsidRPr="004845BE" w:rsidRDefault="0095645D" w:rsidP="0095645D">
    <w:pPr>
      <w:tabs>
        <w:tab w:val="left" w:pos="1025"/>
      </w:tabs>
      <w:ind w:hanging="2"/>
      <w:jc w:val="both"/>
      <w:rPr>
        <w:rFonts w:ascii="Times New Roman" w:hAnsi="Times New Roman" w:cs="Times New Roman"/>
        <w:i/>
        <w:color w:val="000000"/>
        <w:sz w:val="18"/>
        <w:szCs w:val="18"/>
      </w:rPr>
    </w:pPr>
    <w:r w:rsidRPr="001A15FF">
      <w:rPr>
        <w:rFonts w:ascii="Times New Roman" w:eastAsiaTheme="minorEastAsia" w:hAnsi="Times New Roman" w:cs="Times New Roman"/>
        <w:b/>
        <w:bCs/>
        <w:i/>
        <w:sz w:val="18"/>
        <w:szCs w:val="18"/>
        <w:lang w:val="id-ID"/>
      </w:rPr>
      <w:t>Tinjauan Yuridis Pelaksanaan Perkawinan Campuran di Indonesia Menurut Undang-Undang Nomor 1 Tahun 1974 Tentang Perkawinan</w:t>
    </w:r>
    <w:r w:rsidRPr="001A15FF">
      <w:rPr>
        <w:rFonts w:ascii="Times New Roman" w:eastAsiaTheme="minorEastAsia" w:hAnsi="Times New Roman" w:cs="Times New Roman"/>
        <w:b/>
        <w:bCs/>
        <w:i/>
        <w:sz w:val="18"/>
        <w:szCs w:val="18"/>
      </w:rPr>
      <w:t xml:space="preserve">, </w:t>
    </w:r>
    <w:r w:rsidRPr="001A15FF">
      <w:rPr>
        <w:rFonts w:ascii="Times New Roman" w:eastAsiaTheme="minorEastAsia" w:hAnsi="Times New Roman" w:cs="Times New Roman"/>
        <w:i/>
        <w:sz w:val="18"/>
        <w:szCs w:val="18"/>
        <w:lang w:val="id-ID"/>
      </w:rPr>
      <w:t xml:space="preserve">Nostalgia Semuel Bako, </w:t>
    </w:r>
    <w:r w:rsidRPr="001A15FF">
      <w:rPr>
        <w:rStyle w:val="Strong"/>
        <w:rFonts w:ascii="Times New Roman" w:eastAsiaTheme="minorEastAsia" w:hAnsi="Times New Roman" w:cs="Times New Roman"/>
        <w:i/>
        <w:sz w:val="18"/>
        <w:szCs w:val="18"/>
        <w:shd w:val="clear" w:color="auto" w:fill="FFFFFF"/>
        <w:lang w:val="id-ID"/>
      </w:rPr>
      <w:t>Orpa J. Nubantonis</w:t>
    </w:r>
    <w:r w:rsidRPr="001A15FF">
      <w:rPr>
        <w:rFonts w:ascii="Times New Roman" w:eastAsiaTheme="minorEastAsia" w:hAnsi="Times New Roman" w:cs="Times New Roman"/>
        <w:i/>
        <w:sz w:val="18"/>
        <w:szCs w:val="18"/>
        <w:lang w:val="id-ID"/>
      </w:rPr>
      <w:t xml:space="preserve">, </w:t>
    </w:r>
    <w:r w:rsidRPr="001A15FF">
      <w:rPr>
        <w:rFonts w:ascii="Times New Roman" w:eastAsiaTheme="minorEastAsia" w:hAnsi="Times New Roman" w:cs="Times New Roman"/>
        <w:i/>
        <w:sz w:val="18"/>
        <w:szCs w:val="18"/>
        <w:shd w:val="clear" w:color="auto" w:fill="FFFFFF"/>
        <w:lang w:val="id-ID"/>
      </w:rPr>
      <w:t>Rini Marselin Kaesmeta</w:t>
    </w:r>
    <w:r w:rsidR="00E2101A">
      <w:rPr>
        <w:b/>
        <w:i/>
        <w:sz w:val="18"/>
        <w:szCs w:val="18"/>
      </w:rPr>
      <w:t xml:space="preserve">               </w:t>
    </w:r>
    <w:r>
      <w:rPr>
        <w:b/>
        <w:i/>
        <w:sz w:val="18"/>
        <w:szCs w:val="18"/>
      </w:rPr>
      <w:t xml:space="preserve">                        </w:t>
    </w:r>
    <w:r w:rsidR="00EF39ED" w:rsidRPr="0095645D">
      <w:rPr>
        <w:rFonts w:ascii="Times New Roman" w:hAnsi="Times New Roman" w:cs="Times New Roman"/>
        <w:color w:val="000000"/>
        <w:sz w:val="18"/>
        <w:szCs w:val="18"/>
      </w:rPr>
      <w:fldChar w:fldCharType="begin"/>
    </w:r>
    <w:r w:rsidR="00EF39ED" w:rsidRPr="0095645D">
      <w:rPr>
        <w:rFonts w:ascii="Times New Roman" w:hAnsi="Times New Roman" w:cs="Times New Roman"/>
        <w:color w:val="000000"/>
        <w:sz w:val="18"/>
        <w:szCs w:val="18"/>
      </w:rPr>
      <w:instrText>PAGE</w:instrText>
    </w:r>
    <w:r w:rsidR="00EF39ED" w:rsidRPr="0095645D">
      <w:rPr>
        <w:rFonts w:ascii="Times New Roman" w:hAnsi="Times New Roman" w:cs="Times New Roman"/>
        <w:color w:val="000000"/>
        <w:sz w:val="18"/>
        <w:szCs w:val="18"/>
      </w:rPr>
      <w:fldChar w:fldCharType="separate"/>
    </w:r>
    <w:r w:rsidR="00D31F1E">
      <w:rPr>
        <w:rFonts w:ascii="Times New Roman" w:hAnsi="Times New Roman" w:cs="Times New Roman"/>
        <w:noProof/>
        <w:color w:val="000000"/>
        <w:sz w:val="18"/>
        <w:szCs w:val="18"/>
      </w:rPr>
      <w:t>1701</w:t>
    </w:r>
    <w:r w:rsidR="00EF39ED" w:rsidRPr="0095645D">
      <w:rPr>
        <w:rFonts w:ascii="Times New Roman" w:hAnsi="Times New Roman" w:cs="Times New Roman"/>
        <w:color w:val="000000"/>
        <w:sz w:val="18"/>
        <w:szCs w:val="1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9ED" w:rsidRPr="004E5304" w:rsidRDefault="00EF39ED" w:rsidP="004845BE">
    <w:pPr>
      <w:pBdr>
        <w:top w:val="nil"/>
        <w:left w:val="nil"/>
        <w:bottom w:val="nil"/>
        <w:right w:val="nil"/>
        <w:between w:val="nil"/>
      </w:pBdr>
      <w:tabs>
        <w:tab w:val="left" w:pos="709"/>
      </w:tabs>
      <w:ind w:hanging="2"/>
      <w:rPr>
        <w:rFonts w:ascii="Times New Roman" w:hAnsi="Times New Roman" w:cs="Times New Roman"/>
        <w:b/>
        <w:color w:val="000000"/>
        <w:sz w:val="18"/>
        <w:szCs w:val="18"/>
      </w:rPr>
    </w:pPr>
    <w:r w:rsidRPr="004E5304">
      <w:rPr>
        <w:rFonts w:ascii="Times New Roman" w:hAnsi="Times New Roman" w:cs="Times New Roman"/>
        <w:b/>
        <w:color w:val="000000"/>
        <w:sz w:val="18"/>
        <w:szCs w:val="18"/>
      </w:rPr>
      <w:t>Jurnal Pustaka Cendekia Hukum dan Ilmu Sosial</w:t>
    </w:r>
  </w:p>
  <w:p w:rsidR="00EF39ED" w:rsidRPr="004E5304" w:rsidRDefault="00533FFE" w:rsidP="004845BE">
    <w:pPr>
      <w:pBdr>
        <w:top w:val="nil"/>
        <w:left w:val="nil"/>
        <w:bottom w:val="nil"/>
        <w:right w:val="nil"/>
        <w:between w:val="nil"/>
      </w:pBdr>
      <w:tabs>
        <w:tab w:val="left" w:pos="709"/>
      </w:tabs>
      <w:ind w:hanging="2"/>
      <w:rPr>
        <w:rFonts w:ascii="Times New Roman" w:hAnsi="Times New Roman" w:cs="Times New Roman"/>
        <w:color w:val="000000"/>
        <w:sz w:val="18"/>
        <w:szCs w:val="18"/>
      </w:rPr>
    </w:pPr>
    <w:r>
      <w:rPr>
        <w:rFonts w:ascii="Times New Roman" w:hAnsi="Times New Roman" w:cs="Times New Roman"/>
        <w:color w:val="000000"/>
        <w:sz w:val="18"/>
        <w:szCs w:val="18"/>
      </w:rPr>
      <w:t>Volume 4, No. 1</w:t>
    </w:r>
    <w:r w:rsidR="00EF39ED" w:rsidRPr="004E53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February-May</w:t>
    </w:r>
    <w:r w:rsidR="00EF39ED">
      <w:rPr>
        <w:rFonts w:ascii="Times New Roman" w:hAnsi="Times New Roman" w:cs="Times New Roman"/>
        <w:color w:val="000000"/>
        <w:sz w:val="18"/>
        <w:szCs w:val="18"/>
      </w:rPr>
      <w:t xml:space="preserve"> 2026</w:t>
    </w:r>
    <w:r w:rsidR="00EF39ED" w:rsidRPr="004E5304">
      <w:rPr>
        <w:rFonts w:ascii="Times New Roman" w:hAnsi="Times New Roman" w:cs="Times New Roman"/>
        <w:color w:val="000000"/>
        <w:sz w:val="18"/>
        <w:szCs w:val="18"/>
      </w:rPr>
      <w:t>, pp.</w:t>
    </w:r>
    <w:r w:rsidR="0078445D" w:rsidRPr="0078445D">
      <w:t xml:space="preserve"> </w:t>
    </w:r>
    <w:r w:rsidR="00D31F1E" w:rsidRPr="00D31F1E">
      <w:rPr>
        <w:rFonts w:ascii="Times New Roman" w:hAnsi="Times New Roman" w:cs="Times New Roman"/>
        <w:color w:val="000000"/>
        <w:sz w:val="18"/>
        <w:szCs w:val="18"/>
      </w:rPr>
      <w:t>1682</w:t>
    </w:r>
    <w:r w:rsidR="00263642">
      <w:rPr>
        <w:rFonts w:ascii="Times New Roman" w:hAnsi="Times New Roman" w:cs="Times New Roman"/>
        <w:color w:val="000000"/>
        <w:sz w:val="18"/>
        <w:szCs w:val="18"/>
      </w:rPr>
      <w:t>-</w:t>
    </w:r>
    <w:r w:rsidR="00B561DB" w:rsidRPr="00B561DB">
      <w:rPr>
        <w:rFonts w:ascii="Times New Roman" w:hAnsi="Times New Roman" w:cs="Times New Roman"/>
        <w:color w:val="000000"/>
        <w:sz w:val="18"/>
        <w:szCs w:val="18"/>
      </w:rPr>
      <w:t>1</w:t>
    </w:r>
    <w:r w:rsidR="00D31F1E">
      <w:rPr>
        <w:rFonts w:ascii="Times New Roman" w:hAnsi="Times New Roman" w:cs="Times New Roman"/>
        <w:color w:val="000000"/>
        <w:sz w:val="18"/>
        <w:szCs w:val="18"/>
      </w:rPr>
      <w:t>710</w:t>
    </w:r>
  </w:p>
  <w:p w:rsidR="00EF39ED" w:rsidRPr="004E5304" w:rsidRDefault="00EF39ED" w:rsidP="004845BE">
    <w:pPr>
      <w:pBdr>
        <w:top w:val="nil"/>
        <w:left w:val="nil"/>
        <w:bottom w:val="nil"/>
        <w:right w:val="nil"/>
        <w:between w:val="nil"/>
      </w:pBdr>
      <w:tabs>
        <w:tab w:val="left" w:pos="709"/>
        <w:tab w:val="center" w:pos="4512"/>
      </w:tabs>
      <w:ind w:hanging="2"/>
      <w:rPr>
        <w:rFonts w:ascii="Times New Roman" w:hAnsi="Times New Roman" w:cs="Times New Roman"/>
        <w:color w:val="000000"/>
        <w:sz w:val="18"/>
        <w:szCs w:val="18"/>
      </w:rPr>
    </w:pPr>
    <w:r w:rsidRPr="004E5304">
      <w:rPr>
        <w:rFonts w:ascii="Times New Roman" w:hAnsi="Times New Roman" w:cs="Times New Roman"/>
        <w:color w:val="000000"/>
        <w:sz w:val="18"/>
        <w:szCs w:val="18"/>
      </w:rPr>
      <w:t xml:space="preserve">E-ISSN: </w:t>
    </w:r>
    <w:r w:rsidRPr="004E5304">
      <w:rPr>
        <w:rFonts w:ascii="Times New Roman" w:hAnsi="Times New Roman" w:cs="Times New Roman"/>
        <w:sz w:val="18"/>
        <w:szCs w:val="18"/>
      </w:rPr>
      <w:t>2987-4475</w:t>
    </w:r>
    <w:r w:rsidRPr="004E5304">
      <w:rPr>
        <w:rFonts w:ascii="Times New Roman" w:hAnsi="Times New Roman" w:cs="Times New Roman"/>
        <w:sz w:val="18"/>
        <w:szCs w:val="18"/>
      </w:rPr>
      <w:tab/>
    </w:r>
  </w:p>
  <w:p w:rsidR="00EF39ED" w:rsidRPr="004E5304" w:rsidRDefault="00EF39ED" w:rsidP="004845BE">
    <w:pPr>
      <w:pBdr>
        <w:top w:val="nil"/>
        <w:left w:val="nil"/>
        <w:bottom w:val="nil"/>
        <w:right w:val="nil"/>
        <w:between w:val="nil"/>
      </w:pBdr>
      <w:ind w:hanging="2"/>
      <w:rPr>
        <w:rFonts w:ascii="Times New Roman" w:hAnsi="Times New Roman" w:cs="Times New Roman"/>
        <w:color w:val="000000"/>
        <w:sz w:val="18"/>
        <w:szCs w:val="18"/>
      </w:rPr>
    </w:pPr>
    <w:r w:rsidRPr="004E5304">
      <w:rPr>
        <w:rFonts w:ascii="Times New Roman" w:hAnsi="Times New Roman" w:cs="Times New Roman"/>
        <w:color w:val="000000"/>
        <w:sz w:val="18"/>
        <w:szCs w:val="18"/>
      </w:rPr>
      <w:t>https://pchukumsosial.org/index.php/pchs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3065F"/>
    <w:multiLevelType w:val="hybridMultilevel"/>
    <w:tmpl w:val="48344A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106EA3"/>
    <w:multiLevelType w:val="hybridMultilevel"/>
    <w:tmpl w:val="43A2EF30"/>
    <w:lvl w:ilvl="0" w:tplc="04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06A925BD"/>
    <w:multiLevelType w:val="hybridMultilevel"/>
    <w:tmpl w:val="EC8410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6441E5"/>
    <w:multiLevelType w:val="hybridMultilevel"/>
    <w:tmpl w:val="69E84BBE"/>
    <w:lvl w:ilvl="0" w:tplc="DEF4B0DC">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1F43EF"/>
    <w:multiLevelType w:val="hybridMultilevel"/>
    <w:tmpl w:val="1242C4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9F7795"/>
    <w:multiLevelType w:val="hybridMultilevel"/>
    <w:tmpl w:val="D188C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205161"/>
    <w:multiLevelType w:val="multilevel"/>
    <w:tmpl w:val="0C205161"/>
    <w:lvl w:ilvl="0">
      <w:start w:val="1"/>
      <w:numFmt w:val="upperLetter"/>
      <w:lvlText w:val="%1."/>
      <w:lvlJc w:val="left"/>
      <w:pPr>
        <w:ind w:left="345" w:hanging="360"/>
      </w:pPr>
      <w:rPr>
        <w:rFonts w:hint="default"/>
      </w:r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7">
    <w:nsid w:val="0D984466"/>
    <w:multiLevelType w:val="multilevel"/>
    <w:tmpl w:val="9022D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BA546C"/>
    <w:multiLevelType w:val="hybridMultilevel"/>
    <w:tmpl w:val="CFF81268"/>
    <w:lvl w:ilvl="0" w:tplc="BC6613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05711C"/>
    <w:multiLevelType w:val="hybridMultilevel"/>
    <w:tmpl w:val="8F7AE1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E94B64"/>
    <w:multiLevelType w:val="hybridMultilevel"/>
    <w:tmpl w:val="EDAEEC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B261A7"/>
    <w:multiLevelType w:val="hybridMultilevel"/>
    <w:tmpl w:val="AB7642DC"/>
    <w:lvl w:ilvl="0" w:tplc="5A7828F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2E70B2"/>
    <w:multiLevelType w:val="multilevel"/>
    <w:tmpl w:val="92B6D54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846BEA"/>
    <w:multiLevelType w:val="hybridMultilevel"/>
    <w:tmpl w:val="80780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D66F09"/>
    <w:multiLevelType w:val="multilevel"/>
    <w:tmpl w:val="B3DCA306"/>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AF694F"/>
    <w:multiLevelType w:val="hybridMultilevel"/>
    <w:tmpl w:val="D0F4BD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C62E18"/>
    <w:multiLevelType w:val="multilevel"/>
    <w:tmpl w:val="C53629EA"/>
    <w:lvl w:ilvl="0">
      <w:start w:val="1"/>
      <w:numFmt w:val="lowerLetter"/>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ascii="Times New Roman" w:eastAsia="Calibri" w:hAnsi="Times New Roman" w:cs="Times New Roman"/>
      </w:rPr>
    </w:lvl>
    <w:lvl w:ilvl="2">
      <w:start w:val="1"/>
      <w:numFmt w:val="upp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B192056"/>
    <w:multiLevelType w:val="multilevel"/>
    <w:tmpl w:val="96B646A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D136408"/>
    <w:multiLevelType w:val="multilevel"/>
    <w:tmpl w:val="A87AE8DE"/>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B52318"/>
    <w:multiLevelType w:val="multilevel"/>
    <w:tmpl w:val="EF6A6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164D25"/>
    <w:multiLevelType w:val="hybridMultilevel"/>
    <w:tmpl w:val="73A4B938"/>
    <w:lvl w:ilvl="0" w:tplc="04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nsid w:val="3A6918CA"/>
    <w:multiLevelType w:val="hybridMultilevel"/>
    <w:tmpl w:val="72547DDE"/>
    <w:lvl w:ilvl="0" w:tplc="C4EC342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2">
    <w:nsid w:val="3F7D5D7F"/>
    <w:multiLevelType w:val="hybridMultilevel"/>
    <w:tmpl w:val="1C9840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0F50D9"/>
    <w:multiLevelType w:val="multilevel"/>
    <w:tmpl w:val="5384708A"/>
    <w:lvl w:ilvl="0">
      <w:start w:val="1"/>
      <w:numFmt w:val="lowerLetter"/>
      <w:lvlText w:val="%1)"/>
      <w:lvlJc w:val="left"/>
      <w:pPr>
        <w:tabs>
          <w:tab w:val="num" w:pos="720"/>
        </w:tabs>
        <w:ind w:left="720" w:hanging="360"/>
      </w:pPr>
      <w:rPr>
        <w:rFonts w:ascii="Times New Roman" w:eastAsia="Calibr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E77DD6"/>
    <w:multiLevelType w:val="hybridMultilevel"/>
    <w:tmpl w:val="7CBA7A9E"/>
    <w:lvl w:ilvl="0" w:tplc="51CECC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47D2AAA"/>
    <w:multiLevelType w:val="hybridMultilevel"/>
    <w:tmpl w:val="7D78E7D2"/>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nsid w:val="46532450"/>
    <w:multiLevelType w:val="hybridMultilevel"/>
    <w:tmpl w:val="74E4B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1C058B"/>
    <w:multiLevelType w:val="hybridMultilevel"/>
    <w:tmpl w:val="C4881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F30963"/>
    <w:multiLevelType w:val="multilevel"/>
    <w:tmpl w:val="82D49A18"/>
    <w:lvl w:ilvl="0">
      <w:start w:val="1"/>
      <w:numFmt w:val="lowerLetter"/>
      <w:lvlText w:val="%1."/>
      <w:lvlJc w:val="left"/>
      <w:pPr>
        <w:tabs>
          <w:tab w:val="num" w:pos="720"/>
        </w:tabs>
        <w:ind w:left="720" w:hanging="360"/>
      </w:pPr>
      <w:rPr>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690C93"/>
    <w:multiLevelType w:val="multilevel"/>
    <w:tmpl w:val="0D863948"/>
    <w:lvl w:ilvl="0">
      <w:start w:val="1"/>
      <w:numFmt w:val="lowerLetter"/>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upperLetter"/>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993408"/>
    <w:multiLevelType w:val="hybridMultilevel"/>
    <w:tmpl w:val="C1243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DFA3FB1"/>
    <w:multiLevelType w:val="hybridMultilevel"/>
    <w:tmpl w:val="36CC99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531313"/>
    <w:multiLevelType w:val="hybridMultilevel"/>
    <w:tmpl w:val="C4F2F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6A08B1"/>
    <w:multiLevelType w:val="hybridMultilevel"/>
    <w:tmpl w:val="2B4446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BB4587B"/>
    <w:multiLevelType w:val="hybridMultilevel"/>
    <w:tmpl w:val="B8588898"/>
    <w:lvl w:ilvl="0" w:tplc="B278570C">
      <w:start w:val="1"/>
      <w:numFmt w:val="lowerLetter"/>
      <w:lvlText w:val="%1."/>
      <w:lvlJc w:val="left"/>
      <w:pPr>
        <w:ind w:left="1713" w:hanging="360"/>
      </w:pPr>
      <w:rPr>
        <w:rFonts w:ascii="Times New Roman" w:hAnsi="Times New Roman" w:cs="Times New Roman" w:hint="default"/>
        <w:sz w:val="24"/>
        <w:szCs w:val="24"/>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5">
    <w:nsid w:val="5FA168C5"/>
    <w:multiLevelType w:val="multilevel"/>
    <w:tmpl w:val="47969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06D7E12"/>
    <w:multiLevelType w:val="hybridMultilevel"/>
    <w:tmpl w:val="9DE6FF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0F0ADE"/>
    <w:multiLevelType w:val="hybridMultilevel"/>
    <w:tmpl w:val="C916EE68"/>
    <w:lvl w:ilvl="0" w:tplc="26C47C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B655B7"/>
    <w:multiLevelType w:val="multilevel"/>
    <w:tmpl w:val="DD48ADEA"/>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2679D1"/>
    <w:multiLevelType w:val="hybridMultilevel"/>
    <w:tmpl w:val="59822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EE2A2E"/>
    <w:multiLevelType w:val="hybridMultilevel"/>
    <w:tmpl w:val="FC829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8D738C"/>
    <w:multiLevelType w:val="multilevel"/>
    <w:tmpl w:val="3CB8E936"/>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3A5A5D"/>
    <w:multiLevelType w:val="hybridMultilevel"/>
    <w:tmpl w:val="CC70A1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356C7D"/>
    <w:multiLevelType w:val="hybridMultilevel"/>
    <w:tmpl w:val="91C0F1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2E40BB"/>
    <w:multiLevelType w:val="hybridMultilevel"/>
    <w:tmpl w:val="FB385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DA57B2"/>
    <w:multiLevelType w:val="hybridMultilevel"/>
    <w:tmpl w:val="D06C760C"/>
    <w:lvl w:ilvl="0" w:tplc="0409000F">
      <w:start w:val="1"/>
      <w:numFmt w:val="decimal"/>
      <w:lvlText w:val="%1."/>
      <w:lvlJc w:val="left"/>
      <w:pPr>
        <w:ind w:left="358" w:hanging="360"/>
      </w:pPr>
      <w:rPr>
        <w:rFonts w:hint="default"/>
      </w:rPr>
    </w:lvl>
    <w:lvl w:ilvl="1" w:tplc="04090019">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6">
    <w:nsid w:val="7FF81240"/>
    <w:multiLevelType w:val="hybridMultilevel"/>
    <w:tmpl w:val="90E08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6"/>
  </w:num>
  <w:num w:numId="3">
    <w:abstractNumId w:val="30"/>
  </w:num>
  <w:num w:numId="4">
    <w:abstractNumId w:val="19"/>
  </w:num>
  <w:num w:numId="5">
    <w:abstractNumId w:val="24"/>
  </w:num>
  <w:num w:numId="6">
    <w:abstractNumId w:val="14"/>
  </w:num>
  <w:num w:numId="7">
    <w:abstractNumId w:val="13"/>
  </w:num>
  <w:num w:numId="8">
    <w:abstractNumId w:val="5"/>
  </w:num>
  <w:num w:numId="9">
    <w:abstractNumId w:val="39"/>
  </w:num>
  <w:num w:numId="10">
    <w:abstractNumId w:val="27"/>
  </w:num>
  <w:num w:numId="11">
    <w:abstractNumId w:val="44"/>
  </w:num>
  <w:num w:numId="12">
    <w:abstractNumId w:val="1"/>
  </w:num>
  <w:num w:numId="13">
    <w:abstractNumId w:val="38"/>
  </w:num>
  <w:num w:numId="14">
    <w:abstractNumId w:val="20"/>
  </w:num>
  <w:num w:numId="15">
    <w:abstractNumId w:val="18"/>
  </w:num>
  <w:num w:numId="16">
    <w:abstractNumId w:val="7"/>
  </w:num>
  <w:num w:numId="17">
    <w:abstractNumId w:val="17"/>
  </w:num>
  <w:num w:numId="18">
    <w:abstractNumId w:val="35"/>
  </w:num>
  <w:num w:numId="19">
    <w:abstractNumId w:val="25"/>
  </w:num>
  <w:num w:numId="20">
    <w:abstractNumId w:val="34"/>
  </w:num>
  <w:num w:numId="21">
    <w:abstractNumId w:val="16"/>
  </w:num>
  <w:num w:numId="22">
    <w:abstractNumId w:val="37"/>
  </w:num>
  <w:num w:numId="23">
    <w:abstractNumId w:val="41"/>
  </w:num>
  <w:num w:numId="24">
    <w:abstractNumId w:val="23"/>
  </w:num>
  <w:num w:numId="25">
    <w:abstractNumId w:val="12"/>
  </w:num>
  <w:num w:numId="26">
    <w:abstractNumId w:val="28"/>
  </w:num>
  <w:num w:numId="27">
    <w:abstractNumId w:val="4"/>
  </w:num>
  <w:num w:numId="28">
    <w:abstractNumId w:val="3"/>
  </w:num>
  <w:num w:numId="29">
    <w:abstractNumId w:val="10"/>
  </w:num>
  <w:num w:numId="30">
    <w:abstractNumId w:val="11"/>
  </w:num>
  <w:num w:numId="31">
    <w:abstractNumId w:val="26"/>
  </w:num>
  <w:num w:numId="32">
    <w:abstractNumId w:val="22"/>
  </w:num>
  <w:num w:numId="33">
    <w:abstractNumId w:val="8"/>
  </w:num>
  <w:num w:numId="34">
    <w:abstractNumId w:val="0"/>
  </w:num>
  <w:num w:numId="35">
    <w:abstractNumId w:val="9"/>
  </w:num>
  <w:num w:numId="36">
    <w:abstractNumId w:val="2"/>
  </w:num>
  <w:num w:numId="37">
    <w:abstractNumId w:val="42"/>
  </w:num>
  <w:num w:numId="38">
    <w:abstractNumId w:val="33"/>
  </w:num>
  <w:num w:numId="39">
    <w:abstractNumId w:val="45"/>
  </w:num>
  <w:num w:numId="40">
    <w:abstractNumId w:val="21"/>
  </w:num>
  <w:num w:numId="41">
    <w:abstractNumId w:val="46"/>
  </w:num>
  <w:num w:numId="42">
    <w:abstractNumId w:val="43"/>
  </w:num>
  <w:num w:numId="43">
    <w:abstractNumId w:val="15"/>
  </w:num>
  <w:num w:numId="44">
    <w:abstractNumId w:val="32"/>
  </w:num>
  <w:num w:numId="45">
    <w:abstractNumId w:val="31"/>
  </w:num>
  <w:num w:numId="46">
    <w:abstractNumId w:val="36"/>
  </w:num>
  <w:num w:numId="47">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99A"/>
    <w:rsid w:val="00002478"/>
    <w:rsid w:val="000034A6"/>
    <w:rsid w:val="00003B1F"/>
    <w:rsid w:val="000141EF"/>
    <w:rsid w:val="00027F93"/>
    <w:rsid w:val="000516C4"/>
    <w:rsid w:val="00053162"/>
    <w:rsid w:val="00056768"/>
    <w:rsid w:val="0006078B"/>
    <w:rsid w:val="00082503"/>
    <w:rsid w:val="000A0700"/>
    <w:rsid w:val="000A0B8E"/>
    <w:rsid w:val="000A3D43"/>
    <w:rsid w:val="000C0A32"/>
    <w:rsid w:val="000C49D8"/>
    <w:rsid w:val="000D7282"/>
    <w:rsid w:val="000D766E"/>
    <w:rsid w:val="001034DF"/>
    <w:rsid w:val="0010443E"/>
    <w:rsid w:val="00111F78"/>
    <w:rsid w:val="00112FEB"/>
    <w:rsid w:val="001132FC"/>
    <w:rsid w:val="00113739"/>
    <w:rsid w:val="00142E5E"/>
    <w:rsid w:val="00143768"/>
    <w:rsid w:val="00152FD7"/>
    <w:rsid w:val="0019266F"/>
    <w:rsid w:val="0019522A"/>
    <w:rsid w:val="00197175"/>
    <w:rsid w:val="001978CA"/>
    <w:rsid w:val="001B3C41"/>
    <w:rsid w:val="001B6093"/>
    <w:rsid w:val="001C6020"/>
    <w:rsid w:val="001D062F"/>
    <w:rsid w:val="002161AC"/>
    <w:rsid w:val="00224DB3"/>
    <w:rsid w:val="00226E6F"/>
    <w:rsid w:val="00250B0A"/>
    <w:rsid w:val="00261D39"/>
    <w:rsid w:val="00263642"/>
    <w:rsid w:val="00275BDE"/>
    <w:rsid w:val="00297D09"/>
    <w:rsid w:val="002A122E"/>
    <w:rsid w:val="002B488D"/>
    <w:rsid w:val="002B5C5F"/>
    <w:rsid w:val="002C008C"/>
    <w:rsid w:val="002C3BF9"/>
    <w:rsid w:val="002D2B13"/>
    <w:rsid w:val="002F07CC"/>
    <w:rsid w:val="002F2A5F"/>
    <w:rsid w:val="003036A5"/>
    <w:rsid w:val="003068A9"/>
    <w:rsid w:val="00306A19"/>
    <w:rsid w:val="00325190"/>
    <w:rsid w:val="003406B7"/>
    <w:rsid w:val="00345813"/>
    <w:rsid w:val="003656C2"/>
    <w:rsid w:val="003777E0"/>
    <w:rsid w:val="003D0D20"/>
    <w:rsid w:val="003E54C7"/>
    <w:rsid w:val="003E7903"/>
    <w:rsid w:val="003F4CF1"/>
    <w:rsid w:val="00410804"/>
    <w:rsid w:val="00457636"/>
    <w:rsid w:val="0047222E"/>
    <w:rsid w:val="00481971"/>
    <w:rsid w:val="004845BE"/>
    <w:rsid w:val="004C3512"/>
    <w:rsid w:val="004E1EF5"/>
    <w:rsid w:val="004E4046"/>
    <w:rsid w:val="004E5304"/>
    <w:rsid w:val="004E677D"/>
    <w:rsid w:val="004F3B14"/>
    <w:rsid w:val="004F4D34"/>
    <w:rsid w:val="0050196F"/>
    <w:rsid w:val="005066CD"/>
    <w:rsid w:val="005127B6"/>
    <w:rsid w:val="005139FB"/>
    <w:rsid w:val="00531AD3"/>
    <w:rsid w:val="00533FFE"/>
    <w:rsid w:val="00536979"/>
    <w:rsid w:val="00541743"/>
    <w:rsid w:val="005669A4"/>
    <w:rsid w:val="00576EF9"/>
    <w:rsid w:val="005B0D20"/>
    <w:rsid w:val="005B1FC8"/>
    <w:rsid w:val="005C0252"/>
    <w:rsid w:val="005C0473"/>
    <w:rsid w:val="005C0EE2"/>
    <w:rsid w:val="005C79CD"/>
    <w:rsid w:val="005E6007"/>
    <w:rsid w:val="005E77C6"/>
    <w:rsid w:val="0060036A"/>
    <w:rsid w:val="00605BDE"/>
    <w:rsid w:val="00614407"/>
    <w:rsid w:val="00620465"/>
    <w:rsid w:val="00625816"/>
    <w:rsid w:val="0064104E"/>
    <w:rsid w:val="00642D0E"/>
    <w:rsid w:val="00653809"/>
    <w:rsid w:val="00654375"/>
    <w:rsid w:val="006549BE"/>
    <w:rsid w:val="006562DA"/>
    <w:rsid w:val="00670B2B"/>
    <w:rsid w:val="0067103F"/>
    <w:rsid w:val="00674CEC"/>
    <w:rsid w:val="006804B3"/>
    <w:rsid w:val="00685B6F"/>
    <w:rsid w:val="006B2381"/>
    <w:rsid w:val="006C491B"/>
    <w:rsid w:val="006D22EC"/>
    <w:rsid w:val="006E0C9D"/>
    <w:rsid w:val="006F4AA9"/>
    <w:rsid w:val="006F7077"/>
    <w:rsid w:val="0070413E"/>
    <w:rsid w:val="00712EAE"/>
    <w:rsid w:val="00731D5D"/>
    <w:rsid w:val="00735C23"/>
    <w:rsid w:val="007407EA"/>
    <w:rsid w:val="0074587A"/>
    <w:rsid w:val="00754F94"/>
    <w:rsid w:val="00771C19"/>
    <w:rsid w:val="0077203C"/>
    <w:rsid w:val="007741A0"/>
    <w:rsid w:val="0077520E"/>
    <w:rsid w:val="0078445D"/>
    <w:rsid w:val="007E0588"/>
    <w:rsid w:val="007F42B2"/>
    <w:rsid w:val="008310F0"/>
    <w:rsid w:val="00854DB6"/>
    <w:rsid w:val="00856451"/>
    <w:rsid w:val="00866492"/>
    <w:rsid w:val="0087344F"/>
    <w:rsid w:val="008753B1"/>
    <w:rsid w:val="00876079"/>
    <w:rsid w:val="008769F7"/>
    <w:rsid w:val="00884FE8"/>
    <w:rsid w:val="00890CA3"/>
    <w:rsid w:val="008A34E6"/>
    <w:rsid w:val="008A3908"/>
    <w:rsid w:val="008C7632"/>
    <w:rsid w:val="008D184F"/>
    <w:rsid w:val="008D3DE6"/>
    <w:rsid w:val="00906191"/>
    <w:rsid w:val="00914753"/>
    <w:rsid w:val="00927909"/>
    <w:rsid w:val="0093263F"/>
    <w:rsid w:val="0093315F"/>
    <w:rsid w:val="009416A0"/>
    <w:rsid w:val="00944DAF"/>
    <w:rsid w:val="009525DB"/>
    <w:rsid w:val="0095645D"/>
    <w:rsid w:val="00963A74"/>
    <w:rsid w:val="00965E8C"/>
    <w:rsid w:val="00976930"/>
    <w:rsid w:val="00987719"/>
    <w:rsid w:val="009A6A87"/>
    <w:rsid w:val="009A6B98"/>
    <w:rsid w:val="009B218A"/>
    <w:rsid w:val="009B6C4D"/>
    <w:rsid w:val="009D5C17"/>
    <w:rsid w:val="00A03462"/>
    <w:rsid w:val="00A1250C"/>
    <w:rsid w:val="00A169AE"/>
    <w:rsid w:val="00A2377F"/>
    <w:rsid w:val="00A32B25"/>
    <w:rsid w:val="00A3367E"/>
    <w:rsid w:val="00A36A32"/>
    <w:rsid w:val="00A62040"/>
    <w:rsid w:val="00A671D1"/>
    <w:rsid w:val="00A70207"/>
    <w:rsid w:val="00A77B9E"/>
    <w:rsid w:val="00A90993"/>
    <w:rsid w:val="00A925FF"/>
    <w:rsid w:val="00A9418E"/>
    <w:rsid w:val="00AC6477"/>
    <w:rsid w:val="00AD556E"/>
    <w:rsid w:val="00AF5203"/>
    <w:rsid w:val="00AF5304"/>
    <w:rsid w:val="00B0368C"/>
    <w:rsid w:val="00B11CA1"/>
    <w:rsid w:val="00B15A11"/>
    <w:rsid w:val="00B20FDD"/>
    <w:rsid w:val="00B21014"/>
    <w:rsid w:val="00B30498"/>
    <w:rsid w:val="00B31F7B"/>
    <w:rsid w:val="00B36E2B"/>
    <w:rsid w:val="00B561DB"/>
    <w:rsid w:val="00B93207"/>
    <w:rsid w:val="00B96D3D"/>
    <w:rsid w:val="00BA2655"/>
    <w:rsid w:val="00BD103C"/>
    <w:rsid w:val="00BE12FC"/>
    <w:rsid w:val="00BE789A"/>
    <w:rsid w:val="00BF33EC"/>
    <w:rsid w:val="00BF370E"/>
    <w:rsid w:val="00C10FF6"/>
    <w:rsid w:val="00C12199"/>
    <w:rsid w:val="00C13470"/>
    <w:rsid w:val="00C33B5F"/>
    <w:rsid w:val="00C40A7F"/>
    <w:rsid w:val="00C5752C"/>
    <w:rsid w:val="00C66330"/>
    <w:rsid w:val="00C85762"/>
    <w:rsid w:val="00C968EE"/>
    <w:rsid w:val="00CA3887"/>
    <w:rsid w:val="00CB4943"/>
    <w:rsid w:val="00CC0207"/>
    <w:rsid w:val="00CD0478"/>
    <w:rsid w:val="00CD40D3"/>
    <w:rsid w:val="00D07B63"/>
    <w:rsid w:val="00D13455"/>
    <w:rsid w:val="00D1388F"/>
    <w:rsid w:val="00D17EF6"/>
    <w:rsid w:val="00D24DFB"/>
    <w:rsid w:val="00D31F1E"/>
    <w:rsid w:val="00D349A4"/>
    <w:rsid w:val="00D34CB1"/>
    <w:rsid w:val="00D62451"/>
    <w:rsid w:val="00D903C8"/>
    <w:rsid w:val="00DA0484"/>
    <w:rsid w:val="00DA0A92"/>
    <w:rsid w:val="00DE3BA5"/>
    <w:rsid w:val="00E02B8D"/>
    <w:rsid w:val="00E13C7C"/>
    <w:rsid w:val="00E1542E"/>
    <w:rsid w:val="00E2101A"/>
    <w:rsid w:val="00E2530E"/>
    <w:rsid w:val="00E4096A"/>
    <w:rsid w:val="00E415A6"/>
    <w:rsid w:val="00E45800"/>
    <w:rsid w:val="00E476B3"/>
    <w:rsid w:val="00E52A9F"/>
    <w:rsid w:val="00E742A9"/>
    <w:rsid w:val="00EA31A2"/>
    <w:rsid w:val="00EC0018"/>
    <w:rsid w:val="00EF39ED"/>
    <w:rsid w:val="00F47208"/>
    <w:rsid w:val="00F6728F"/>
    <w:rsid w:val="00F7199A"/>
    <w:rsid w:val="00F926D7"/>
    <w:rsid w:val="00FA4051"/>
    <w:rsid w:val="00FA45A6"/>
    <w:rsid w:val="00FA58B1"/>
    <w:rsid w:val="00FA5BC9"/>
    <w:rsid w:val="00FB7F40"/>
    <w:rsid w:val="00FF431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chartTrackingRefBased/>
  <w15:docId w15:val="{6E6F6330-E25F-8441-B2D0-0DA354D69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1"/>
    <w:qFormat/>
    <w:rsid w:val="0060036A"/>
    <w:pPr>
      <w:keepNext/>
      <w:keepLines/>
      <w:spacing w:before="240"/>
      <w:outlineLvl w:val="0"/>
    </w:pPr>
    <w:rPr>
      <w:rFonts w:asciiTheme="majorHAnsi" w:eastAsiaTheme="majorEastAsia" w:hAnsiTheme="majorHAnsi" w:cstheme="majorBidi"/>
      <w:color w:val="0F4761" w:themeColor="accent1" w:themeShade="BF"/>
      <w:kern w:val="0"/>
      <w:sz w:val="32"/>
      <w:szCs w:val="32"/>
      <w:lang w:val="en-ID"/>
      <w14:ligatures w14:val="none"/>
    </w:rPr>
  </w:style>
  <w:style w:type="paragraph" w:styleId="Heading2">
    <w:name w:val="heading 2"/>
    <w:basedOn w:val="Normal"/>
    <w:next w:val="Normal"/>
    <w:link w:val="Heading2Char"/>
    <w:uiPriority w:val="9"/>
    <w:unhideWhenUsed/>
    <w:qFormat/>
    <w:rsid w:val="00BA2655"/>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link w:val="Heading3Char"/>
    <w:uiPriority w:val="9"/>
    <w:qFormat/>
    <w:rsid w:val="00F7199A"/>
    <w:pPr>
      <w:spacing w:before="100" w:beforeAutospacing="1" w:after="100" w:afterAutospacing="1"/>
      <w:outlineLvl w:val="2"/>
    </w:pPr>
    <w:rPr>
      <w:rFonts w:ascii="Times New Roman" w:eastAsia="Times New Roman" w:hAnsi="Times New Roman" w:cs="Times New Roman"/>
      <w:b/>
      <w:bCs/>
      <w:kern w:val="0"/>
      <w:sz w:val="27"/>
      <w:szCs w:val="27"/>
      <w:lang w:val="en-ID"/>
      <w14:ligatures w14:val="none"/>
    </w:rPr>
  </w:style>
  <w:style w:type="paragraph" w:styleId="Heading4">
    <w:name w:val="heading 4"/>
    <w:basedOn w:val="Normal"/>
    <w:next w:val="Normal"/>
    <w:link w:val="Heading4Char"/>
    <w:uiPriority w:val="9"/>
    <w:unhideWhenUsed/>
    <w:qFormat/>
    <w:rsid w:val="002D2B13"/>
    <w:pPr>
      <w:keepNext/>
      <w:keepLines/>
      <w:spacing w:before="40" w:line="259" w:lineRule="auto"/>
      <w:outlineLvl w:val="3"/>
    </w:pPr>
    <w:rPr>
      <w:rFonts w:asciiTheme="majorHAnsi" w:eastAsiaTheme="majorEastAsia" w:hAnsiTheme="majorHAnsi" w:cstheme="majorBidi"/>
      <w:i/>
      <w:iCs/>
      <w:color w:val="0F4761" w:themeColor="accent1" w:themeShade="BF"/>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F7199A"/>
    <w:pPr>
      <w:spacing w:before="100" w:beforeAutospacing="1" w:after="100" w:afterAutospacing="1"/>
    </w:pPr>
    <w:rPr>
      <w:rFonts w:ascii="Times New Roman" w:eastAsia="Times New Roman" w:hAnsi="Times New Roman" w:cs="Times New Roman"/>
      <w:kern w:val="0"/>
      <w:lang w:val="en-ID"/>
      <w14:ligatures w14:val="none"/>
    </w:rPr>
  </w:style>
  <w:style w:type="character" w:customStyle="1" w:styleId="Heading3Char">
    <w:name w:val="Heading 3 Char"/>
    <w:basedOn w:val="DefaultParagraphFont"/>
    <w:link w:val="Heading3"/>
    <w:uiPriority w:val="9"/>
    <w:rsid w:val="00F7199A"/>
    <w:rPr>
      <w:rFonts w:ascii="Times New Roman" w:eastAsia="Times New Roman" w:hAnsi="Times New Roman" w:cs="Times New Roman"/>
      <w:b/>
      <w:bCs/>
      <w:kern w:val="0"/>
      <w:sz w:val="27"/>
      <w:szCs w:val="27"/>
      <w14:ligatures w14:val="none"/>
    </w:rPr>
  </w:style>
  <w:style w:type="character" w:styleId="Strong">
    <w:name w:val="Strong"/>
    <w:basedOn w:val="DefaultParagraphFont"/>
    <w:uiPriority w:val="22"/>
    <w:qFormat/>
    <w:rsid w:val="00F7199A"/>
    <w:rPr>
      <w:b/>
      <w:bCs/>
    </w:rPr>
  </w:style>
  <w:style w:type="table" w:styleId="TableGrid">
    <w:name w:val="Table Grid"/>
    <w:basedOn w:val="TableNormal"/>
    <w:uiPriority w:val="39"/>
    <w:rsid w:val="00A702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Body of text+1,Medium Grid 1 - Accent 21,Body of text+2,Body of text+3,List Paragraph11,Colorful List - Accent 11,List ParagrAph,Body of text1,Body of text2,List Paragraph12,Body of text3,List Paragraph13"/>
    <w:basedOn w:val="Normal"/>
    <w:link w:val="ListParagraphChar"/>
    <w:uiPriority w:val="34"/>
    <w:qFormat/>
    <w:rsid w:val="00B96D3D"/>
    <w:pPr>
      <w:ind w:left="720"/>
      <w:contextualSpacing/>
    </w:pPr>
  </w:style>
  <w:style w:type="character" w:styleId="Hyperlink">
    <w:name w:val="Hyperlink"/>
    <w:basedOn w:val="DefaultParagraphFont"/>
    <w:uiPriority w:val="99"/>
    <w:unhideWhenUsed/>
    <w:rsid w:val="00F6728F"/>
    <w:rPr>
      <w:color w:val="467886" w:themeColor="hyperlink"/>
      <w:u w:val="single"/>
    </w:rPr>
  </w:style>
  <w:style w:type="character" w:customStyle="1" w:styleId="Heading1Char">
    <w:name w:val="Heading 1 Char"/>
    <w:basedOn w:val="DefaultParagraphFont"/>
    <w:link w:val="Heading1"/>
    <w:uiPriority w:val="9"/>
    <w:rsid w:val="0060036A"/>
    <w:rPr>
      <w:rFonts w:asciiTheme="majorHAnsi" w:eastAsiaTheme="majorEastAsia" w:hAnsiTheme="majorHAnsi" w:cstheme="majorBidi"/>
      <w:color w:val="0F4761" w:themeColor="accent1" w:themeShade="BF"/>
      <w:kern w:val="0"/>
      <w:sz w:val="32"/>
      <w:szCs w:val="32"/>
      <w14:ligatures w14:val="none"/>
    </w:rPr>
  </w:style>
  <w:style w:type="paragraph" w:styleId="Header">
    <w:name w:val="header"/>
    <w:basedOn w:val="Normal"/>
    <w:link w:val="HeaderChar"/>
    <w:uiPriority w:val="99"/>
    <w:unhideWhenUsed/>
    <w:rsid w:val="004845BE"/>
    <w:pPr>
      <w:tabs>
        <w:tab w:val="center" w:pos="4680"/>
        <w:tab w:val="right" w:pos="9360"/>
      </w:tabs>
    </w:pPr>
  </w:style>
  <w:style w:type="character" w:customStyle="1" w:styleId="HeaderChar">
    <w:name w:val="Header Char"/>
    <w:basedOn w:val="DefaultParagraphFont"/>
    <w:link w:val="Header"/>
    <w:uiPriority w:val="99"/>
    <w:rsid w:val="004845BE"/>
    <w:rPr>
      <w:lang w:val="en-GB"/>
    </w:rPr>
  </w:style>
  <w:style w:type="paragraph" w:styleId="Footer">
    <w:name w:val="footer"/>
    <w:basedOn w:val="Normal"/>
    <w:link w:val="FooterChar"/>
    <w:uiPriority w:val="99"/>
    <w:unhideWhenUsed/>
    <w:rsid w:val="004845BE"/>
    <w:pPr>
      <w:tabs>
        <w:tab w:val="center" w:pos="4680"/>
        <w:tab w:val="right" w:pos="9360"/>
      </w:tabs>
    </w:pPr>
  </w:style>
  <w:style w:type="character" w:customStyle="1" w:styleId="FooterChar">
    <w:name w:val="Footer Char"/>
    <w:basedOn w:val="DefaultParagraphFont"/>
    <w:link w:val="Footer"/>
    <w:uiPriority w:val="99"/>
    <w:rsid w:val="004845BE"/>
    <w:rPr>
      <w:lang w:val="en-GB"/>
    </w:rPr>
  </w:style>
  <w:style w:type="paragraph" w:styleId="BalloonText">
    <w:name w:val="Balloon Text"/>
    <w:basedOn w:val="Normal"/>
    <w:link w:val="BalloonTextChar"/>
    <w:uiPriority w:val="99"/>
    <w:semiHidden/>
    <w:unhideWhenUsed/>
    <w:rsid w:val="00E458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800"/>
    <w:rPr>
      <w:rFonts w:ascii="Segoe UI" w:hAnsi="Segoe UI" w:cs="Segoe UI"/>
      <w:sz w:val="18"/>
      <w:szCs w:val="18"/>
      <w:lang w:val="en-GB"/>
    </w:rPr>
  </w:style>
  <w:style w:type="paragraph" w:styleId="BodyText">
    <w:name w:val="Body Text"/>
    <w:basedOn w:val="Normal"/>
    <w:link w:val="BodyTextChar"/>
    <w:uiPriority w:val="1"/>
    <w:qFormat/>
    <w:rsid w:val="000A0700"/>
    <w:pPr>
      <w:widowControl w:val="0"/>
      <w:autoSpaceDE w:val="0"/>
      <w:autoSpaceDN w:val="0"/>
      <w:ind w:left="1168"/>
      <w:jc w:val="both"/>
    </w:pPr>
    <w:rPr>
      <w:rFonts w:ascii="Times New Roman" w:eastAsia="Times New Roman" w:hAnsi="Times New Roman" w:cs="Times New Roman"/>
      <w:kern w:val="0"/>
      <w:lang w:val="id"/>
      <w14:ligatures w14:val="none"/>
    </w:rPr>
  </w:style>
  <w:style w:type="character" w:customStyle="1" w:styleId="BodyTextChar">
    <w:name w:val="Body Text Char"/>
    <w:basedOn w:val="DefaultParagraphFont"/>
    <w:link w:val="BodyText"/>
    <w:uiPriority w:val="1"/>
    <w:rsid w:val="000A0700"/>
    <w:rPr>
      <w:rFonts w:ascii="Times New Roman" w:eastAsia="Times New Roman" w:hAnsi="Times New Roman" w:cs="Times New Roman"/>
      <w:kern w:val="0"/>
      <w:lang w:val="id"/>
      <w14:ligatures w14:val="none"/>
    </w:rPr>
  </w:style>
  <w:style w:type="paragraph" w:customStyle="1" w:styleId="TableParagraph">
    <w:name w:val="Table Paragraph"/>
    <w:basedOn w:val="Normal"/>
    <w:uiPriority w:val="1"/>
    <w:qFormat/>
    <w:rsid w:val="000A0700"/>
    <w:pPr>
      <w:widowControl w:val="0"/>
      <w:autoSpaceDE w:val="0"/>
      <w:autoSpaceDN w:val="0"/>
    </w:pPr>
    <w:rPr>
      <w:rFonts w:ascii="Times New Roman" w:eastAsia="Times New Roman" w:hAnsi="Times New Roman" w:cs="Times New Roman"/>
      <w:kern w:val="0"/>
      <w:sz w:val="22"/>
      <w:szCs w:val="22"/>
      <w:lang w:val="id"/>
      <w14:ligatures w14:val="none"/>
    </w:rPr>
  </w:style>
  <w:style w:type="character" w:customStyle="1" w:styleId="uv3um">
    <w:name w:val="uv3um"/>
    <w:basedOn w:val="DefaultParagraphFont"/>
    <w:rsid w:val="00A03462"/>
  </w:style>
  <w:style w:type="character" w:customStyle="1" w:styleId="ListParagraphChar">
    <w:name w:val="List Paragraph Char"/>
    <w:aliases w:val="Body of text Char,List Paragraph1 Char,Body of text+1 Char,Medium Grid 1 - Accent 21 Char,Body of text+2 Char,Body of text+3 Char,List Paragraph11 Char,Colorful List - Accent 11 Char,List ParagrAph Char,Body of text1 Char"/>
    <w:basedOn w:val="DefaultParagraphFont"/>
    <w:link w:val="ListParagraph"/>
    <w:uiPriority w:val="34"/>
    <w:qFormat/>
    <w:locked/>
    <w:rsid w:val="00A3367E"/>
    <w:rPr>
      <w:lang w:val="en-GB"/>
    </w:rPr>
  </w:style>
  <w:style w:type="character" w:styleId="Emphasis">
    <w:name w:val="Emphasis"/>
    <w:basedOn w:val="DefaultParagraphFont"/>
    <w:uiPriority w:val="20"/>
    <w:qFormat/>
    <w:rsid w:val="00A3367E"/>
    <w:rPr>
      <w:i/>
      <w:iCs/>
    </w:rPr>
  </w:style>
  <w:style w:type="paragraph" w:styleId="FootnoteText">
    <w:name w:val="footnote text"/>
    <w:aliases w:val="Footnote Text Char Char Char Char Char Char,Footnote Text Char Char Char Char Char,Footnote Text Char Char Char,Footnote Text Char Char,Footnote Text Char Char Char Char,Footnote Text Char Char Char Char Char Char Char Char,Char Char,Char"/>
    <w:basedOn w:val="Normal"/>
    <w:link w:val="FootnoteTextChar"/>
    <w:uiPriority w:val="99"/>
    <w:unhideWhenUsed/>
    <w:rsid w:val="000D766E"/>
    <w:pPr>
      <w:spacing w:after="200" w:line="276" w:lineRule="auto"/>
    </w:pPr>
    <w:rPr>
      <w:rFonts w:ascii="Calibri" w:eastAsia="Calibri" w:hAnsi="Calibri" w:cs="Times New Roman"/>
      <w:kern w:val="0"/>
      <w:sz w:val="20"/>
      <w:szCs w:val="20"/>
      <w:lang w:val="id-ID"/>
      <w14:ligatures w14:val="none"/>
    </w:rPr>
  </w:style>
  <w:style w:type="character" w:customStyle="1" w:styleId="FootnoteTextChar">
    <w:name w:val="Footnote Text Char"/>
    <w:aliases w:val="Footnote Text Char Char Char Char Char Char Char,Footnote Text Char Char Char Char Char Char1,Footnote Text Char Char Char Char1,Footnote Text Char Char Char1,Footnote Text Char Char Char Char Char1,Char Char Char,Char Char1"/>
    <w:basedOn w:val="DefaultParagraphFont"/>
    <w:link w:val="FootnoteText"/>
    <w:uiPriority w:val="99"/>
    <w:rsid w:val="000D766E"/>
    <w:rPr>
      <w:rFonts w:ascii="Calibri" w:eastAsia="Calibri" w:hAnsi="Calibri" w:cs="Times New Roman"/>
      <w:kern w:val="0"/>
      <w:sz w:val="20"/>
      <w:szCs w:val="20"/>
      <w:lang w:val="id-ID"/>
      <w14:ligatures w14:val="none"/>
    </w:rPr>
  </w:style>
  <w:style w:type="character" w:styleId="FootnoteReference">
    <w:name w:val="footnote reference"/>
    <w:aliases w:val="fr"/>
    <w:basedOn w:val="DefaultParagraphFont"/>
    <w:uiPriority w:val="99"/>
    <w:unhideWhenUsed/>
    <w:qFormat/>
    <w:rsid w:val="000D766E"/>
    <w:rPr>
      <w:vertAlign w:val="superscript"/>
    </w:rPr>
  </w:style>
  <w:style w:type="paragraph" w:customStyle="1" w:styleId="Abstract">
    <w:name w:val="Abstract"/>
    <w:basedOn w:val="Normal"/>
    <w:link w:val="AbstractChar"/>
    <w:qFormat/>
    <w:rsid w:val="00E742A9"/>
    <w:pPr>
      <w:ind w:left="425" w:right="425"/>
      <w:jc w:val="both"/>
    </w:pPr>
    <w:rPr>
      <w:rFonts w:ascii="Calisto MT" w:eastAsia="Calibri" w:hAnsi="Calisto MT" w:cs="Times New Roman"/>
      <w:kern w:val="0"/>
      <w:sz w:val="20"/>
      <w:lang w:val="en-US"/>
      <w14:ligatures w14:val="none"/>
    </w:rPr>
  </w:style>
  <w:style w:type="character" w:customStyle="1" w:styleId="AbstractChar">
    <w:name w:val="Abstract Char"/>
    <w:link w:val="Abstract"/>
    <w:rsid w:val="00E742A9"/>
    <w:rPr>
      <w:rFonts w:ascii="Calisto MT" w:eastAsia="Calibri" w:hAnsi="Calisto MT" w:cs="Times New Roman"/>
      <w:kern w:val="0"/>
      <w:sz w:val="20"/>
      <w:lang w:val="en-US"/>
      <w14:ligatures w14:val="none"/>
    </w:rPr>
  </w:style>
  <w:style w:type="paragraph" w:customStyle="1" w:styleId="TabelGambar">
    <w:name w:val="Tabel &amp; Gambar"/>
    <w:basedOn w:val="Normal"/>
    <w:link w:val="TabelGambarChar"/>
    <w:qFormat/>
    <w:rsid w:val="00C968EE"/>
    <w:pPr>
      <w:spacing w:after="160"/>
      <w:jc w:val="center"/>
    </w:pPr>
    <w:rPr>
      <w:rFonts w:ascii="Times New Roman" w:eastAsia="Calibri" w:hAnsi="Times New Roman" w:cs="Times New Roman"/>
      <w:kern w:val="0"/>
      <w:szCs w:val="20"/>
      <w:lang w:val="pt-BR" w:eastAsia="pt-BR"/>
      <w14:ligatures w14:val="none"/>
    </w:rPr>
  </w:style>
  <w:style w:type="character" w:customStyle="1" w:styleId="TabelGambarChar">
    <w:name w:val="Tabel &amp; Gambar Char"/>
    <w:link w:val="TabelGambar"/>
    <w:locked/>
    <w:rsid w:val="00C968EE"/>
    <w:rPr>
      <w:rFonts w:ascii="Times New Roman" w:eastAsia="Calibri" w:hAnsi="Times New Roman" w:cs="Times New Roman"/>
      <w:kern w:val="0"/>
      <w:szCs w:val="20"/>
      <w:lang w:val="pt-BR" w:eastAsia="pt-BR"/>
      <w14:ligatures w14:val="none"/>
    </w:rPr>
  </w:style>
  <w:style w:type="paragraph" w:customStyle="1" w:styleId="buatpas">
    <w:name w:val="buat pas"/>
    <w:basedOn w:val="Normal"/>
    <w:link w:val="buatpasChar"/>
    <w:qFormat/>
    <w:rsid w:val="00C968EE"/>
    <w:pPr>
      <w:autoSpaceDE w:val="0"/>
      <w:autoSpaceDN w:val="0"/>
      <w:adjustRightInd w:val="0"/>
      <w:spacing w:line="480" w:lineRule="auto"/>
      <w:ind w:firstLine="720"/>
      <w:jc w:val="both"/>
    </w:pPr>
    <w:rPr>
      <w:rFonts w:ascii="Times New Roman" w:eastAsia="Calibri" w:hAnsi="Times New Roman" w:cs="Times New Roman"/>
      <w:kern w:val="0"/>
      <w:lang w:val="en-US"/>
      <w14:ligatures w14:val="none"/>
    </w:rPr>
  </w:style>
  <w:style w:type="character" w:customStyle="1" w:styleId="buatpasChar">
    <w:name w:val="buat pas Char"/>
    <w:link w:val="buatpas"/>
    <w:rsid w:val="00C968EE"/>
    <w:rPr>
      <w:rFonts w:ascii="Times New Roman" w:eastAsia="Calibri" w:hAnsi="Times New Roman" w:cs="Times New Roman"/>
      <w:kern w:val="0"/>
      <w:lang w:val="en-US"/>
      <w14:ligatures w14:val="none"/>
    </w:rPr>
  </w:style>
  <w:style w:type="character" w:customStyle="1" w:styleId="apple-converted-space">
    <w:name w:val="apple-converted-space"/>
    <w:basedOn w:val="DefaultParagraphFont"/>
    <w:rsid w:val="00866492"/>
  </w:style>
  <w:style w:type="character" w:customStyle="1" w:styleId="whitespace-normal">
    <w:name w:val="whitespace-normal"/>
    <w:basedOn w:val="DefaultParagraphFont"/>
    <w:rsid w:val="00866492"/>
  </w:style>
  <w:style w:type="character" w:customStyle="1" w:styleId="ts-alignment-element">
    <w:name w:val="ts-alignment-element"/>
    <w:basedOn w:val="DefaultParagraphFont"/>
    <w:rsid w:val="00653809"/>
  </w:style>
  <w:style w:type="character" w:customStyle="1" w:styleId="Date1">
    <w:name w:val="Date1"/>
    <w:basedOn w:val="DefaultParagraphFont"/>
    <w:rsid w:val="0078445D"/>
  </w:style>
  <w:style w:type="character" w:customStyle="1" w:styleId="s2">
    <w:name w:val="s2"/>
    <w:basedOn w:val="DefaultParagraphFont"/>
    <w:rsid w:val="00DE3BA5"/>
  </w:style>
  <w:style w:type="paragraph" w:customStyle="1" w:styleId="Penulis">
    <w:name w:val="Penulis"/>
    <w:basedOn w:val="Normal"/>
    <w:qFormat/>
    <w:rsid w:val="00A62040"/>
    <w:pPr>
      <w:widowControl w:val="0"/>
      <w:tabs>
        <w:tab w:val="left" w:pos="4140"/>
      </w:tabs>
      <w:jc w:val="center"/>
    </w:pPr>
    <w:rPr>
      <w:rFonts w:ascii="Times New Roman" w:eastAsia="Times New Roman" w:hAnsi="Times New Roman" w:cs="Times New Roman"/>
      <w:b/>
      <w:color w:val="000000"/>
      <w:kern w:val="0"/>
      <w:lang w:val="en-US" w:eastAsia="id-ID"/>
      <w14:ligatures w14:val="none"/>
    </w:rPr>
  </w:style>
  <w:style w:type="paragraph" w:styleId="IntenseQuote">
    <w:name w:val="Intense Quote"/>
    <w:basedOn w:val="Normal"/>
    <w:next w:val="Normal"/>
    <w:link w:val="IntenseQuoteChar"/>
    <w:uiPriority w:val="30"/>
    <w:qFormat/>
    <w:rsid w:val="00C10FF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lang w:val="en-US"/>
    </w:rPr>
  </w:style>
  <w:style w:type="character" w:customStyle="1" w:styleId="IntenseQuoteChar">
    <w:name w:val="Intense Quote Char"/>
    <w:basedOn w:val="DefaultParagraphFont"/>
    <w:link w:val="IntenseQuote"/>
    <w:uiPriority w:val="30"/>
    <w:rsid w:val="00C10FF6"/>
    <w:rPr>
      <w:i/>
      <w:iCs/>
      <w:color w:val="0F4761" w:themeColor="accent1" w:themeShade="BF"/>
      <w:sz w:val="22"/>
      <w:szCs w:val="22"/>
      <w:lang w:val="en-US"/>
    </w:rPr>
  </w:style>
  <w:style w:type="paragraph" w:customStyle="1" w:styleId="p1">
    <w:name w:val="p1"/>
    <w:basedOn w:val="Normal"/>
    <w:rsid w:val="00C66330"/>
    <w:pPr>
      <w:spacing w:before="100" w:beforeAutospacing="1" w:after="100" w:afterAutospacing="1"/>
    </w:pPr>
    <w:rPr>
      <w:rFonts w:ascii="Times New Roman" w:eastAsiaTheme="minorEastAsia" w:hAnsi="Times New Roman" w:cs="Times New Roman"/>
      <w:kern w:val="0"/>
      <w:lang w:val="id-ID" w:eastAsia="id-ID"/>
      <w14:ligatures w14:val="none"/>
    </w:rPr>
  </w:style>
  <w:style w:type="paragraph" w:customStyle="1" w:styleId="p2">
    <w:name w:val="p2"/>
    <w:basedOn w:val="Normal"/>
    <w:rsid w:val="00C66330"/>
    <w:pPr>
      <w:spacing w:before="100" w:beforeAutospacing="1" w:after="100" w:afterAutospacing="1"/>
    </w:pPr>
    <w:rPr>
      <w:rFonts w:ascii="Times New Roman" w:eastAsiaTheme="minorEastAsia" w:hAnsi="Times New Roman" w:cs="Times New Roman"/>
      <w:kern w:val="0"/>
      <w:lang w:val="id-ID" w:eastAsia="id-ID"/>
      <w14:ligatures w14:val="none"/>
    </w:rPr>
  </w:style>
  <w:style w:type="character" w:customStyle="1" w:styleId="s1">
    <w:name w:val="s1"/>
    <w:basedOn w:val="DefaultParagraphFont"/>
    <w:rsid w:val="00C66330"/>
  </w:style>
  <w:style w:type="character" w:customStyle="1" w:styleId="Heading2Char">
    <w:name w:val="Heading 2 Char"/>
    <w:basedOn w:val="DefaultParagraphFont"/>
    <w:link w:val="Heading2"/>
    <w:uiPriority w:val="9"/>
    <w:qFormat/>
    <w:rsid w:val="00BA2655"/>
    <w:rPr>
      <w:rFonts w:asciiTheme="majorHAnsi" w:eastAsiaTheme="majorEastAsia" w:hAnsiTheme="majorHAnsi" w:cstheme="majorBidi"/>
      <w:color w:val="0F4761" w:themeColor="accent1" w:themeShade="BF"/>
      <w:sz w:val="26"/>
      <w:szCs w:val="26"/>
      <w:lang w:val="en-GB"/>
    </w:rPr>
  </w:style>
  <w:style w:type="paragraph" w:styleId="Bibliography">
    <w:name w:val="Bibliography"/>
    <w:basedOn w:val="Normal"/>
    <w:next w:val="Normal"/>
    <w:uiPriority w:val="37"/>
    <w:unhideWhenUsed/>
    <w:rsid w:val="00BA2655"/>
    <w:pPr>
      <w:spacing w:after="160" w:line="259" w:lineRule="auto"/>
    </w:pPr>
    <w:rPr>
      <w:sz w:val="22"/>
      <w:szCs w:val="22"/>
      <w:lang w:val="en-ID"/>
    </w:rPr>
  </w:style>
  <w:style w:type="paragraph" w:styleId="Caption">
    <w:name w:val="caption"/>
    <w:basedOn w:val="Normal"/>
    <w:next w:val="Normal"/>
    <w:uiPriority w:val="35"/>
    <w:unhideWhenUsed/>
    <w:qFormat/>
    <w:rsid w:val="00E2530E"/>
    <w:pPr>
      <w:spacing w:after="200"/>
    </w:pPr>
    <w:rPr>
      <w:rFonts w:ascii="Times New Roman" w:eastAsia="Times New Roman" w:hAnsi="Times New Roman" w:cs="Times New Roman"/>
      <w:i/>
      <w:iCs/>
      <w:color w:val="0E2841" w:themeColor="text2"/>
      <w:kern w:val="0"/>
      <w:sz w:val="18"/>
      <w:szCs w:val="18"/>
      <w:lang w:val="en-US" w:eastAsia="en-ID"/>
      <w14:ligatures w14:val="none"/>
    </w:rPr>
  </w:style>
  <w:style w:type="character" w:customStyle="1" w:styleId="Heading4Char">
    <w:name w:val="Heading 4 Char"/>
    <w:basedOn w:val="DefaultParagraphFont"/>
    <w:link w:val="Heading4"/>
    <w:uiPriority w:val="9"/>
    <w:rsid w:val="002D2B13"/>
    <w:rPr>
      <w:rFonts w:asciiTheme="majorHAnsi" w:eastAsiaTheme="majorEastAsia" w:hAnsiTheme="majorHAnsi" w:cstheme="majorBidi"/>
      <w:i/>
      <w:iCs/>
      <w:color w:val="0F4761" w:themeColor="accent1" w:themeShade="BF"/>
      <w:sz w:val="22"/>
      <w:szCs w:val="22"/>
      <w:lang w:val="en-US"/>
    </w:rPr>
  </w:style>
  <w:style w:type="character" w:styleId="PlaceholderText">
    <w:name w:val="Placeholder Text"/>
    <w:basedOn w:val="DefaultParagraphFont"/>
    <w:uiPriority w:val="99"/>
    <w:semiHidden/>
    <w:rsid w:val="002D2B13"/>
    <w:rPr>
      <w:color w:val="666666"/>
    </w:rPr>
  </w:style>
  <w:style w:type="character" w:customStyle="1" w:styleId="UnresolvedMention">
    <w:name w:val="Unresolved Mention"/>
    <w:basedOn w:val="DefaultParagraphFont"/>
    <w:uiPriority w:val="99"/>
    <w:semiHidden/>
    <w:unhideWhenUsed/>
    <w:rsid w:val="002D2B13"/>
    <w:rPr>
      <w:color w:val="605E5C"/>
      <w:shd w:val="clear" w:color="auto" w:fill="E1DFDD"/>
    </w:rPr>
  </w:style>
  <w:style w:type="paragraph" w:styleId="HTMLPreformatted">
    <w:name w:val="HTML Preformatted"/>
    <w:basedOn w:val="Normal"/>
    <w:link w:val="HTMLPreformattedChar"/>
    <w:uiPriority w:val="99"/>
    <w:unhideWhenUsed/>
    <w:qFormat/>
    <w:rsid w:val="002D2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val="en-US"/>
    </w:rPr>
  </w:style>
  <w:style w:type="character" w:customStyle="1" w:styleId="HTMLPreformattedChar">
    <w:name w:val="HTML Preformatted Char"/>
    <w:basedOn w:val="DefaultParagraphFont"/>
    <w:link w:val="HTMLPreformatted"/>
    <w:uiPriority w:val="99"/>
    <w:qFormat/>
    <w:rsid w:val="002D2B13"/>
    <w:rPr>
      <w:rFonts w:ascii="Courier New" w:eastAsia="Times New Roman" w:hAnsi="Courier New" w:cs="Courier New"/>
      <w:kern w:val="0"/>
      <w:sz w:val="20"/>
      <w:szCs w:val="20"/>
      <w:lang w:val="en-US"/>
    </w:rPr>
  </w:style>
  <w:style w:type="character" w:customStyle="1" w:styleId="y2iqfc">
    <w:name w:val="y2iqfc"/>
    <w:basedOn w:val="DefaultParagraphFont"/>
    <w:qFormat/>
    <w:rsid w:val="002D2B13"/>
  </w:style>
  <w:style w:type="paragraph" w:customStyle="1" w:styleId="msonormal0">
    <w:name w:val="msonormal"/>
    <w:basedOn w:val="Normal"/>
    <w:rsid w:val="002D2B13"/>
    <w:pPr>
      <w:spacing w:before="100" w:beforeAutospacing="1" w:after="100" w:afterAutospacing="1"/>
    </w:pPr>
    <w:rPr>
      <w:rFonts w:ascii="Times New Roman" w:eastAsia="Times New Roman" w:hAnsi="Times New Roman" w:cs="Times New Roman"/>
      <w:kern w:val="0"/>
      <w:lang w:val="en-US"/>
      <w14:ligatures w14:val="none"/>
    </w:rPr>
  </w:style>
  <w:style w:type="character" w:customStyle="1" w:styleId="mx-05">
    <w:name w:val="mx-0.5"/>
    <w:basedOn w:val="DefaultParagraphFont"/>
    <w:rsid w:val="002D2B13"/>
  </w:style>
  <w:style w:type="character" w:styleId="FollowedHyperlink">
    <w:name w:val="FollowedHyperlink"/>
    <w:basedOn w:val="DefaultParagraphFont"/>
    <w:uiPriority w:val="99"/>
    <w:semiHidden/>
    <w:unhideWhenUsed/>
    <w:rsid w:val="002D2B13"/>
    <w:rPr>
      <w:color w:val="800080"/>
      <w:u w:val="single"/>
    </w:rPr>
  </w:style>
  <w:style w:type="table" w:styleId="ListTable3">
    <w:name w:val="List Table 3"/>
    <w:basedOn w:val="TableNormal"/>
    <w:uiPriority w:val="48"/>
    <w:rsid w:val="002D2B13"/>
    <w:rPr>
      <w:sz w:val="22"/>
      <w:szCs w:val="22"/>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4">
    <w:name w:val="Grid Table 4"/>
    <w:basedOn w:val="TableNormal"/>
    <w:uiPriority w:val="49"/>
    <w:rsid w:val="002D2B13"/>
    <w:rPr>
      <w:sz w:val="22"/>
      <w:szCs w:val="22"/>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6">
    <w:name w:val="List Table 2 Accent 6"/>
    <w:basedOn w:val="TableNormal"/>
    <w:uiPriority w:val="47"/>
    <w:rsid w:val="002D2B13"/>
    <w:rPr>
      <w:sz w:val="22"/>
      <w:szCs w:val="22"/>
      <w:lang w:val="en-US"/>
    </w:rPr>
    <w:tblPr>
      <w:tblStyleRowBandSize w:val="1"/>
      <w:tblStyleColBandSize w:val="1"/>
      <w:tblInd w:w="0" w:type="dxa"/>
      <w:tblBorders>
        <w:top w:val="single" w:sz="4" w:space="0" w:color="8DD873" w:themeColor="accent6" w:themeTint="99"/>
        <w:bottom w:val="single" w:sz="4" w:space="0" w:color="8DD873" w:themeColor="accent6" w:themeTint="99"/>
        <w:insideH w:val="single" w:sz="4" w:space="0" w:color="8DD873"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character" w:customStyle="1" w:styleId="FootnoteTextChar1">
    <w:name w:val="Footnote Text Char1"/>
    <w:aliases w:val="Char Char Char Char,Char Char1 Char,Char Char Char1"/>
    <w:basedOn w:val="DefaultParagraphFont"/>
    <w:uiPriority w:val="99"/>
    <w:semiHidden/>
    <w:locked/>
    <w:rsid w:val="00B561DB"/>
    <w:rPr>
      <w:rFonts w:ascii="Times New Roman" w:eastAsiaTheme="minorEastAsia" w:hAnsi="Times New Roman" w:cs="Times New Roman"/>
      <w:b w:val="0"/>
      <w:bCs w:val="0"/>
      <w:color w:val="156082" w:themeColor="accent1"/>
      <w:sz w:val="20"/>
      <w:szCs w:val="20"/>
    </w:rPr>
  </w:style>
  <w:style w:type="paragraph" w:styleId="Title">
    <w:name w:val="Title"/>
    <w:basedOn w:val="Normal"/>
    <w:link w:val="TitleChar"/>
    <w:uiPriority w:val="10"/>
    <w:qFormat/>
    <w:rsid w:val="00E2101A"/>
    <w:pPr>
      <w:widowControl w:val="0"/>
      <w:autoSpaceDE w:val="0"/>
      <w:autoSpaceDN w:val="0"/>
      <w:spacing w:before="123"/>
      <w:ind w:left="219"/>
    </w:pPr>
    <w:rPr>
      <w:rFonts w:ascii="Times New Roman" w:eastAsia="Times New Roman" w:hAnsi="Times New Roman" w:cs="Times New Roman"/>
      <w:b/>
      <w:bCs/>
      <w:kern w:val="0"/>
      <w:sz w:val="28"/>
      <w:szCs w:val="28"/>
      <w:lang w:val="en-US"/>
      <w14:ligatures w14:val="none"/>
    </w:rPr>
  </w:style>
  <w:style w:type="character" w:customStyle="1" w:styleId="TitleChar">
    <w:name w:val="Title Char"/>
    <w:basedOn w:val="DefaultParagraphFont"/>
    <w:link w:val="Title"/>
    <w:uiPriority w:val="10"/>
    <w:rsid w:val="00E2101A"/>
    <w:rPr>
      <w:rFonts w:ascii="Times New Roman" w:eastAsia="Times New Roman" w:hAnsi="Times New Roman" w:cs="Times New Roman"/>
      <w:b/>
      <w:bCs/>
      <w:kern w:val="0"/>
      <w:sz w:val="28"/>
      <w:szCs w:val="28"/>
      <w:lang w:val="en-US"/>
      <w14:ligatures w14:val="none"/>
    </w:rPr>
  </w:style>
  <w:style w:type="paragraph" w:customStyle="1" w:styleId="isselectedend">
    <w:name w:val="isselectedend"/>
    <w:basedOn w:val="Normal"/>
    <w:rsid w:val="00E2101A"/>
    <w:pPr>
      <w:spacing w:before="100" w:beforeAutospacing="1" w:after="100" w:afterAutospacing="1"/>
    </w:pPr>
    <w:rPr>
      <w:rFonts w:ascii="Times New Roman" w:eastAsia="Times New Roman" w:hAnsi="Times New Roman" w:cs="Times New Roman"/>
      <w:kern w:val="0"/>
      <w:lang w:val="id-ID" w:eastAsia="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99626">
      <w:bodyDiv w:val="1"/>
      <w:marLeft w:val="0"/>
      <w:marRight w:val="0"/>
      <w:marTop w:val="0"/>
      <w:marBottom w:val="0"/>
      <w:divBdr>
        <w:top w:val="none" w:sz="0" w:space="0" w:color="auto"/>
        <w:left w:val="none" w:sz="0" w:space="0" w:color="auto"/>
        <w:bottom w:val="none" w:sz="0" w:space="0" w:color="auto"/>
        <w:right w:val="none" w:sz="0" w:space="0" w:color="auto"/>
      </w:divBdr>
    </w:div>
    <w:div w:id="135800729">
      <w:bodyDiv w:val="1"/>
      <w:marLeft w:val="0"/>
      <w:marRight w:val="0"/>
      <w:marTop w:val="0"/>
      <w:marBottom w:val="0"/>
      <w:divBdr>
        <w:top w:val="none" w:sz="0" w:space="0" w:color="auto"/>
        <w:left w:val="none" w:sz="0" w:space="0" w:color="auto"/>
        <w:bottom w:val="none" w:sz="0" w:space="0" w:color="auto"/>
        <w:right w:val="none" w:sz="0" w:space="0" w:color="auto"/>
      </w:divBdr>
    </w:div>
    <w:div w:id="181432129">
      <w:bodyDiv w:val="1"/>
      <w:marLeft w:val="0"/>
      <w:marRight w:val="0"/>
      <w:marTop w:val="0"/>
      <w:marBottom w:val="0"/>
      <w:divBdr>
        <w:top w:val="none" w:sz="0" w:space="0" w:color="auto"/>
        <w:left w:val="none" w:sz="0" w:space="0" w:color="auto"/>
        <w:bottom w:val="none" w:sz="0" w:space="0" w:color="auto"/>
        <w:right w:val="none" w:sz="0" w:space="0" w:color="auto"/>
      </w:divBdr>
    </w:div>
    <w:div w:id="189801408">
      <w:bodyDiv w:val="1"/>
      <w:marLeft w:val="0"/>
      <w:marRight w:val="0"/>
      <w:marTop w:val="0"/>
      <w:marBottom w:val="0"/>
      <w:divBdr>
        <w:top w:val="none" w:sz="0" w:space="0" w:color="auto"/>
        <w:left w:val="none" w:sz="0" w:space="0" w:color="auto"/>
        <w:bottom w:val="none" w:sz="0" w:space="0" w:color="auto"/>
        <w:right w:val="none" w:sz="0" w:space="0" w:color="auto"/>
      </w:divBdr>
    </w:div>
    <w:div w:id="245186023">
      <w:bodyDiv w:val="1"/>
      <w:marLeft w:val="0"/>
      <w:marRight w:val="0"/>
      <w:marTop w:val="0"/>
      <w:marBottom w:val="0"/>
      <w:divBdr>
        <w:top w:val="none" w:sz="0" w:space="0" w:color="auto"/>
        <w:left w:val="none" w:sz="0" w:space="0" w:color="auto"/>
        <w:bottom w:val="none" w:sz="0" w:space="0" w:color="auto"/>
        <w:right w:val="none" w:sz="0" w:space="0" w:color="auto"/>
      </w:divBdr>
    </w:div>
    <w:div w:id="262035635">
      <w:bodyDiv w:val="1"/>
      <w:marLeft w:val="0"/>
      <w:marRight w:val="0"/>
      <w:marTop w:val="0"/>
      <w:marBottom w:val="0"/>
      <w:divBdr>
        <w:top w:val="none" w:sz="0" w:space="0" w:color="auto"/>
        <w:left w:val="none" w:sz="0" w:space="0" w:color="auto"/>
        <w:bottom w:val="none" w:sz="0" w:space="0" w:color="auto"/>
        <w:right w:val="none" w:sz="0" w:space="0" w:color="auto"/>
      </w:divBdr>
    </w:div>
    <w:div w:id="268977076">
      <w:bodyDiv w:val="1"/>
      <w:marLeft w:val="0"/>
      <w:marRight w:val="0"/>
      <w:marTop w:val="0"/>
      <w:marBottom w:val="0"/>
      <w:divBdr>
        <w:top w:val="none" w:sz="0" w:space="0" w:color="auto"/>
        <w:left w:val="none" w:sz="0" w:space="0" w:color="auto"/>
        <w:bottom w:val="none" w:sz="0" w:space="0" w:color="auto"/>
        <w:right w:val="none" w:sz="0" w:space="0" w:color="auto"/>
      </w:divBdr>
    </w:div>
    <w:div w:id="538317436">
      <w:bodyDiv w:val="1"/>
      <w:marLeft w:val="0"/>
      <w:marRight w:val="0"/>
      <w:marTop w:val="0"/>
      <w:marBottom w:val="0"/>
      <w:divBdr>
        <w:top w:val="none" w:sz="0" w:space="0" w:color="auto"/>
        <w:left w:val="none" w:sz="0" w:space="0" w:color="auto"/>
        <w:bottom w:val="none" w:sz="0" w:space="0" w:color="auto"/>
        <w:right w:val="none" w:sz="0" w:space="0" w:color="auto"/>
      </w:divBdr>
    </w:div>
    <w:div w:id="862785414">
      <w:bodyDiv w:val="1"/>
      <w:marLeft w:val="0"/>
      <w:marRight w:val="0"/>
      <w:marTop w:val="0"/>
      <w:marBottom w:val="0"/>
      <w:divBdr>
        <w:top w:val="none" w:sz="0" w:space="0" w:color="auto"/>
        <w:left w:val="none" w:sz="0" w:space="0" w:color="auto"/>
        <w:bottom w:val="none" w:sz="0" w:space="0" w:color="auto"/>
        <w:right w:val="none" w:sz="0" w:space="0" w:color="auto"/>
      </w:divBdr>
    </w:div>
    <w:div w:id="1070420063">
      <w:bodyDiv w:val="1"/>
      <w:marLeft w:val="0"/>
      <w:marRight w:val="0"/>
      <w:marTop w:val="0"/>
      <w:marBottom w:val="0"/>
      <w:divBdr>
        <w:top w:val="none" w:sz="0" w:space="0" w:color="auto"/>
        <w:left w:val="none" w:sz="0" w:space="0" w:color="auto"/>
        <w:bottom w:val="none" w:sz="0" w:space="0" w:color="auto"/>
        <w:right w:val="none" w:sz="0" w:space="0" w:color="auto"/>
      </w:divBdr>
    </w:div>
    <w:div w:id="1082138144">
      <w:bodyDiv w:val="1"/>
      <w:marLeft w:val="0"/>
      <w:marRight w:val="0"/>
      <w:marTop w:val="0"/>
      <w:marBottom w:val="0"/>
      <w:divBdr>
        <w:top w:val="none" w:sz="0" w:space="0" w:color="auto"/>
        <w:left w:val="none" w:sz="0" w:space="0" w:color="auto"/>
        <w:bottom w:val="none" w:sz="0" w:space="0" w:color="auto"/>
        <w:right w:val="none" w:sz="0" w:space="0" w:color="auto"/>
      </w:divBdr>
    </w:div>
    <w:div w:id="1217622425">
      <w:bodyDiv w:val="1"/>
      <w:marLeft w:val="0"/>
      <w:marRight w:val="0"/>
      <w:marTop w:val="0"/>
      <w:marBottom w:val="0"/>
      <w:divBdr>
        <w:top w:val="none" w:sz="0" w:space="0" w:color="auto"/>
        <w:left w:val="none" w:sz="0" w:space="0" w:color="auto"/>
        <w:bottom w:val="none" w:sz="0" w:space="0" w:color="auto"/>
        <w:right w:val="none" w:sz="0" w:space="0" w:color="auto"/>
      </w:divBdr>
    </w:div>
    <w:div w:id="1276907747">
      <w:bodyDiv w:val="1"/>
      <w:marLeft w:val="0"/>
      <w:marRight w:val="0"/>
      <w:marTop w:val="0"/>
      <w:marBottom w:val="0"/>
      <w:divBdr>
        <w:top w:val="none" w:sz="0" w:space="0" w:color="auto"/>
        <w:left w:val="none" w:sz="0" w:space="0" w:color="auto"/>
        <w:bottom w:val="none" w:sz="0" w:space="0" w:color="auto"/>
        <w:right w:val="none" w:sz="0" w:space="0" w:color="auto"/>
      </w:divBdr>
    </w:div>
    <w:div w:id="1410032395">
      <w:bodyDiv w:val="1"/>
      <w:marLeft w:val="0"/>
      <w:marRight w:val="0"/>
      <w:marTop w:val="0"/>
      <w:marBottom w:val="0"/>
      <w:divBdr>
        <w:top w:val="none" w:sz="0" w:space="0" w:color="auto"/>
        <w:left w:val="none" w:sz="0" w:space="0" w:color="auto"/>
        <w:bottom w:val="none" w:sz="0" w:space="0" w:color="auto"/>
        <w:right w:val="none" w:sz="0" w:space="0" w:color="auto"/>
      </w:divBdr>
    </w:div>
    <w:div w:id="1415206404">
      <w:bodyDiv w:val="1"/>
      <w:marLeft w:val="0"/>
      <w:marRight w:val="0"/>
      <w:marTop w:val="0"/>
      <w:marBottom w:val="0"/>
      <w:divBdr>
        <w:top w:val="none" w:sz="0" w:space="0" w:color="auto"/>
        <w:left w:val="none" w:sz="0" w:space="0" w:color="auto"/>
        <w:bottom w:val="none" w:sz="0" w:space="0" w:color="auto"/>
        <w:right w:val="none" w:sz="0" w:space="0" w:color="auto"/>
      </w:divBdr>
    </w:div>
    <w:div w:id="1532765725">
      <w:bodyDiv w:val="1"/>
      <w:marLeft w:val="0"/>
      <w:marRight w:val="0"/>
      <w:marTop w:val="0"/>
      <w:marBottom w:val="0"/>
      <w:divBdr>
        <w:top w:val="none" w:sz="0" w:space="0" w:color="auto"/>
        <w:left w:val="none" w:sz="0" w:space="0" w:color="auto"/>
        <w:bottom w:val="none" w:sz="0" w:space="0" w:color="auto"/>
        <w:right w:val="none" w:sz="0" w:space="0" w:color="auto"/>
      </w:divBdr>
    </w:div>
    <w:div w:id="1586305670">
      <w:bodyDiv w:val="1"/>
      <w:marLeft w:val="0"/>
      <w:marRight w:val="0"/>
      <w:marTop w:val="0"/>
      <w:marBottom w:val="0"/>
      <w:divBdr>
        <w:top w:val="none" w:sz="0" w:space="0" w:color="auto"/>
        <w:left w:val="none" w:sz="0" w:space="0" w:color="auto"/>
        <w:bottom w:val="none" w:sz="0" w:space="0" w:color="auto"/>
        <w:right w:val="none" w:sz="0" w:space="0" w:color="auto"/>
      </w:divBdr>
    </w:div>
    <w:div w:id="1708605749">
      <w:bodyDiv w:val="1"/>
      <w:marLeft w:val="0"/>
      <w:marRight w:val="0"/>
      <w:marTop w:val="0"/>
      <w:marBottom w:val="0"/>
      <w:divBdr>
        <w:top w:val="none" w:sz="0" w:space="0" w:color="auto"/>
        <w:left w:val="none" w:sz="0" w:space="0" w:color="auto"/>
        <w:bottom w:val="none" w:sz="0" w:space="0" w:color="auto"/>
        <w:right w:val="none" w:sz="0" w:space="0" w:color="auto"/>
      </w:divBdr>
    </w:div>
    <w:div w:id="1715885619">
      <w:bodyDiv w:val="1"/>
      <w:marLeft w:val="0"/>
      <w:marRight w:val="0"/>
      <w:marTop w:val="0"/>
      <w:marBottom w:val="0"/>
      <w:divBdr>
        <w:top w:val="none" w:sz="0" w:space="0" w:color="auto"/>
        <w:left w:val="none" w:sz="0" w:space="0" w:color="auto"/>
        <w:bottom w:val="none" w:sz="0" w:space="0" w:color="auto"/>
        <w:right w:val="none" w:sz="0" w:space="0" w:color="auto"/>
      </w:divBdr>
    </w:div>
    <w:div w:id="1862207880">
      <w:bodyDiv w:val="1"/>
      <w:marLeft w:val="0"/>
      <w:marRight w:val="0"/>
      <w:marTop w:val="0"/>
      <w:marBottom w:val="0"/>
      <w:divBdr>
        <w:top w:val="none" w:sz="0" w:space="0" w:color="auto"/>
        <w:left w:val="none" w:sz="0" w:space="0" w:color="auto"/>
        <w:bottom w:val="none" w:sz="0" w:space="0" w:color="auto"/>
        <w:right w:val="none" w:sz="0" w:space="0" w:color="auto"/>
      </w:divBdr>
    </w:div>
    <w:div w:id="1874997953">
      <w:bodyDiv w:val="1"/>
      <w:marLeft w:val="0"/>
      <w:marRight w:val="0"/>
      <w:marTop w:val="0"/>
      <w:marBottom w:val="0"/>
      <w:divBdr>
        <w:top w:val="none" w:sz="0" w:space="0" w:color="auto"/>
        <w:left w:val="none" w:sz="0" w:space="0" w:color="auto"/>
        <w:bottom w:val="none" w:sz="0" w:space="0" w:color="auto"/>
        <w:right w:val="none" w:sz="0" w:space="0" w:color="auto"/>
      </w:divBdr>
    </w:div>
    <w:div w:id="2012680292">
      <w:bodyDiv w:val="1"/>
      <w:marLeft w:val="0"/>
      <w:marRight w:val="0"/>
      <w:marTop w:val="0"/>
      <w:marBottom w:val="0"/>
      <w:divBdr>
        <w:top w:val="none" w:sz="0" w:space="0" w:color="auto"/>
        <w:left w:val="none" w:sz="0" w:space="0" w:color="auto"/>
        <w:bottom w:val="none" w:sz="0" w:space="0" w:color="auto"/>
        <w:right w:val="none" w:sz="0" w:space="0" w:color="auto"/>
      </w:divBdr>
    </w:div>
    <w:div w:id="2044094897">
      <w:bodyDiv w:val="1"/>
      <w:marLeft w:val="0"/>
      <w:marRight w:val="0"/>
      <w:marTop w:val="0"/>
      <w:marBottom w:val="0"/>
      <w:divBdr>
        <w:top w:val="none" w:sz="0" w:space="0" w:color="auto"/>
        <w:left w:val="none" w:sz="0" w:space="0" w:color="auto"/>
        <w:bottom w:val="none" w:sz="0" w:space="0" w:color="auto"/>
        <w:right w:val="none" w:sz="0" w:space="0" w:color="auto"/>
      </w:divBdr>
    </w:div>
    <w:div w:id="212723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Sug20</b:Tag>
    <b:SourceType>JournalArticle</b:SourceType>
    <b:Guid>{BD24239C-9473-4438-AD2A-BC79D11CCEB2}</b:Guid>
    <b:Title>Identifikasi Pola Tata Ruang Pasar Dalam Konteks Pasar Dalam Konteks Pasar Sehat Di Jakarta (Objek: Pasar Mayestik; Pasar Santa)</b:Title>
    <b:JournalName>Kocenin Serial Konferensi</b:JournalName>
    <b:Year>2020</b:Year>
    <b:Pages>3-10</b:Pages>
    <b:Author>
      <b:Author>
        <b:NameList>
          <b:Person>
            <b:Last>Sugari </b:Last>
            <b:First>Muhamad</b:First>
          </b:Person>
          <b:Person>
            <b:Last>Kridarso</b:Last>
            <b:Middle>Retnowati</b:Middle>
            <b:First>Etty</b:First>
          </b:Person>
          <b:Person>
            <b:Last>Handjajanti </b:Last>
            <b:First>Sri</b:First>
          </b:Person>
        </b:NameList>
      </b:Author>
    </b:Author>
    <b:RefOrder>2</b:RefOrder>
  </b:Source>
  <b:Source>
    <b:Tag>Mal22</b:Tag>
    <b:SourceType>JournalArticle</b:SourceType>
    <b:Guid>{98156BEB-BB31-453E-9B1C-6B953EA1DD05}</b:Guid>
    <b:Title>Dampak Relokasi Pasar Reda Mata Terhadap Kehidupan Sosial Ekonomi Masyarakat (Studi Kasus Pada Masyarakat Pasar Baru Di Desa Pogo Tena, Kecamatan Loura, Kabupaten Sumba Barat Daya)</b:Title>
    <b:JournalName>UPT Perpustakaan Undana </b:JournalName>
    <b:Year>2022</b:Year>
    <b:Pages>1-94</b:Pages>
    <b:Author>
      <b:Author>
        <b:NameList>
          <b:Person>
            <b:Last>Malo</b:Last>
            <b:First>Yohanes </b:First>
          </b:Person>
        </b:NameList>
      </b:Author>
    </b:Author>
    <b:RefOrder>3</b:RefOrder>
  </b:Source>
  <b:Source>
    <b:Tag>Bor22</b:Tag>
    <b:SourceType>JournalArticle</b:SourceType>
    <b:Guid>{BBB20E1B-2B7E-495F-B6D4-8880CDB48E1E}</b:Guid>
    <b:Title>Resistensi Pedagang Terhadap Kebijakan Relokasi Pasar Oleh Pemerintah Kabupaten Sumba Barat Daya (Studi Di Pasar Rada Mata Kecamatan Kota Tambolaka Kabupaten Sumba Barat Daya)</b:Title>
    <b:JournalName>UPT Perpustakaan Undana</b:JournalName>
    <b:Year>2022</b:Year>
    <b:Pages>1-110</b:Pages>
    <b:Author>
      <b:Author>
        <b:NameList>
          <b:Person>
            <b:Last>Bora</b:Last>
            <b:Middle>Arianto </b:Middle>
            <b:First>Antonius </b:First>
          </b:Person>
        </b:NameList>
      </b:Author>
    </b:Author>
    <b:RefOrder>4</b:RefOrder>
  </b:Source>
  <b:Source>
    <b:Tag>Yul17</b:Tag>
    <b:SourceType>JournalArticle</b:SourceType>
    <b:Guid>{A8CDC642-8522-45B8-9560-78BDEF282A23}</b:Guid>
    <b:Title>PENGARUH RELOKASI PASAR TERHADAP PENDAPATAN PEDAGANG(Studi pada Pedagang Pasar Traditional Modern 24 Tejo Agung)</b:Title>
    <b:JournalName>UPT Perpustakaan Undana</b:JournalName>
    <b:Year>2017</b:Year>
    <b:Pages>1-79</b:Pages>
    <b:Author>
      <b:Author>
        <b:NameList>
          <b:Person>
            <b:Last>Yuliyanti</b:Last>
            <b:First>Eva</b:First>
          </b:Person>
        </b:NameList>
      </b:Author>
    </b:Author>
    <b:RefOrder>5</b:RefOrder>
  </b:Source>
  <b:Source>
    <b:Tag>Lef74</b:Tag>
    <b:SourceType>Book</b:SourceType>
    <b:Guid>{43DD3083-28D0-43FE-A527-FB96CC897246}</b:Guid>
    <b:Title>The Production of Space</b:Title>
    <b:Year>1974</b:Year>
    <b:City>Paris</b:City>
    <b:Publisher>Anthropos</b:Publisher>
    <b:Author>
      <b:Author>
        <b:NameList>
          <b:Person>
            <b:Last>Lefebvre</b:Last>
            <b:First>Henri</b:First>
          </b:Person>
        </b:NameList>
      </b:Author>
    </b:Author>
    <b:RefOrder>6</b:RefOrder>
  </b:Source>
  <b:Source>
    <b:Tag>Pos21</b:Tag>
    <b:SourceType>InternetSite</b:SourceType>
    <b:Guid>{059CA05E-7053-4E88-BDCA-5CBFA18FD816}</b:Guid>
    <b:Title>Tribuana Pos</b:Title>
    <b:Year>2021</b:Year>
    <b:InternetSiteTitle>Google</b:InternetSiteTitle>
    <b:Month>Juni</b:Month>
    <b:Day>10</b:Day>
    <b:URL>https://tribuanapos.net/2021/06/10/relokasi-pasar-alor-pedagang-kami-dikejar-koperasi/?utm_source</b:URL>
    <b:Author>
      <b:Author>
        <b:NameList>
          <b:Person>
            <b:Last>Pos</b:Last>
            <b:First>Tribuana</b:First>
          </b:Person>
        </b:NameList>
      </b:Author>
    </b:Author>
    <b:RefOrder>7</b:RefOrder>
  </b:Source>
  <b:Source>
    <b:Tag>Pos211</b:Tag>
    <b:SourceType>InternetSite</b:SourceType>
    <b:Guid>{A9994B17-1EBD-4F3D-9F09-6A770136286D}</b:Guid>
    <b:Title>Tribuana Pos</b:Title>
    <b:InternetSiteTitle>Google</b:InternetSiteTitle>
    <b:Year>2021</b:Year>
    <b:Month>Juni</b:Month>
    <b:Day>10</b:Day>
    <b:URL>https://tribuanapos.net/2021/06/10/relokasi-pasar-alor-pedagang-kami-dikejar-koperasi/?utm_source</b:URL>
    <b:Author>
      <b:Author>
        <b:NameList>
          <b:Person>
            <b:Last>Pos</b:Last>
            <b:First>Tribuana</b:First>
          </b:Person>
        </b:NameList>
      </b:Author>
    </b:Author>
    <b:RefOrder>8</b:RefOrder>
  </b:Source>
  <b:Source>
    <b:Tag>Suk21</b:Tag>
    <b:SourceType>Book</b:SourceType>
    <b:Guid>{0D062876-1C3B-4262-9AA0-3C06EDF62783}</b:Guid>
    <b:Title>Dinamika Tata Ruang Dan Keberlanjutan Lingkungan Binaan</b:Title>
    <b:Year>2021</b:Year>
    <b:City>Denpasar-Bali</b:City>
    <b:Publisher>UNHI PRESS</b:Publisher>
    <b:Author>
      <b:Author>
        <b:NameList>
          <b:Person>
            <b:Last>Sukamara</b:Last>
            <b:First>Nyoman </b:First>
          </b:Person>
          <b:Person>
            <b:Last>Putra</b:Last>
            <b:Middle>Putu Anindya</b:Middle>
            <b:First>I Gusti</b:First>
          </b:Person>
          <b:Person>
            <b:Last>Santhyasa </b:Last>
            <b:Middle>Gede</b:Middle>
            <b:First>I Komang</b:First>
          </b:Person>
          <b:Person>
            <b:Last>Wirawan </b:Last>
            <b:First>Komang </b:First>
          </b:Person>
          <b:Person>
            <b:Last>Arimbawa</b:Last>
            <b:First>Wahyudi</b:First>
          </b:Person>
          <b:Person>
            <b:Last>Juliarthana </b:Last>
            <b:Middle>Harry</b:Middle>
            <b:First>I Nyoman</b:First>
          </b:Person>
          <b:Person>
            <b:Last>Galih</b:Last>
            <b:Middle>Ayu Sari</b:Middle>
            <b:First>Komang </b:First>
          </b:Person>
          <b:Person>
            <b:Last>Kardinal </b:Last>
            <b:Middle>Diah Ambarwati</b:Middle>
            <b:First>Ni G.A.</b:First>
          </b:Person>
          <b:Person>
            <b:Last>Kurniawan </b:Last>
            <b:Middle>Damar Windu</b:Middle>
            <b:First>Wayan</b:First>
          </b:Person>
        </b:NameList>
      </b:Author>
    </b:Author>
    <b:RefOrder>9</b:RefOrder>
  </b:Source>
  <b:Source>
    <b:Tag>Sut20</b:Tag>
    <b:SourceType>Book</b:SourceType>
    <b:Guid>{5FDF4EAB-CB3E-4AA1-9F84-546521458A11}</b:Guid>
    <b:Title>TATA RUANG DAN PERENCANAAN WILAYAH Implementasi Dalam Kebijakan Pertanahan</b:Title>
    <b:Year>2020</b:Year>
    <b:City>Yogyakarta</b:City>
    <b:Publisher>STPN Press</b:Publisher>
    <b:Author>
      <b:Author>
        <b:NameList>
          <b:Person>
            <b:Last>Sutaryono</b:Last>
          </b:Person>
          <b:Person>
            <b:Last>Riyadi</b:Last>
            <b:First>Rakhmat</b:First>
          </b:Person>
          <b:Person>
            <b:Last>Widiyantoro</b:Last>
            <b:First>Susilo</b:First>
          </b:Person>
        </b:NameList>
      </b:Author>
    </b:Author>
    <b:RefOrder>10</b:RefOrder>
  </b:Source>
  <b:Source>
    <b:Tag>Adm23</b:Tag>
    <b:SourceType>InternetSite</b:SourceType>
    <b:Guid>{1C4D37CA-82CA-405A-B571-48D1F85AA0FF}</b:Guid>
    <b:Title>OBJEKTIF, REALISTIS, INSPIRATIF</b:Title>
    <b:Year>2023</b:Year>
    <b:InternetSiteTitle>alorpos.com</b:InternetSiteTitle>
    <b:Month>Juli</b:Month>
    <b:Day>14</b:Day>
    <b:URL>https://www.alorpos.com/pasar-kadelang-ditempati-pedagang-pesan-gubernur-ntt-jadi-tantangan-wakano-bebas-kantong-plastik/?utm_source</b:URL>
    <b:Author>
      <b:Author>
        <b:NameList>
          <b:Person>
            <b:Last>Admin</b:Last>
            <b:First>By</b:First>
          </b:Person>
        </b:NameList>
      </b:Author>
    </b:Author>
    <b:RefOrder>1</b:RefOrder>
  </b:Source>
</b:Sources>
</file>

<file path=customXml/itemProps1.xml><?xml version="1.0" encoding="utf-8"?>
<ds:datastoreItem xmlns:ds="http://schemas.openxmlformats.org/officeDocument/2006/customXml" ds:itemID="{CA059B1B-0B2D-4ADD-9E96-7A07251AF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13414</Words>
  <Characters>76464</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Pulung Riyanto</dc:creator>
  <cp:keywords/>
  <dc:description/>
  <cp:lastModifiedBy>DELL</cp:lastModifiedBy>
  <cp:revision>2</cp:revision>
  <cp:lastPrinted>2026-06-29T07:45:00Z</cp:lastPrinted>
  <dcterms:created xsi:type="dcterms:W3CDTF">2026-06-29T08:29:00Z</dcterms:created>
  <dcterms:modified xsi:type="dcterms:W3CDTF">2026-06-29T08:29:00Z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dec87c39-ae95-3b0d-9688-34d601c8de0c</vt:lpwstr>
  </property>
  <property fmtid="{D5CDD505-2E9C-101B-9397-08002B2CF9AE}" pid="24" name="Mendeley Citation Style_1">
    <vt:lpwstr>http://www.zotero.org/styles/american-sociological-association</vt:lpwstr>
  </property>
</Properties>
</file>