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F22D4" w14:textId="06431012" w:rsidR="00D431A8" w:rsidRDefault="00A72D49" w:rsidP="00A72D49">
      <w:pPr>
        <w:spacing w:before="120" w:after="480"/>
        <w:ind w:right="23"/>
        <w:jc w:val="center"/>
        <w:rPr>
          <w:rFonts w:ascii="Times New Roman" w:eastAsia="Times New Roman" w:hAnsi="Times New Roman" w:cs="Times New Roman"/>
          <w:b/>
          <w:kern w:val="0"/>
          <w:position w:val="-1"/>
          <w:sz w:val="28"/>
          <w:szCs w:val="28"/>
          <w:lang w:val="en-US"/>
          <w14:ligatures w14:val="none"/>
        </w:rPr>
      </w:pPr>
      <w:r w:rsidRPr="00A72D49">
        <w:rPr>
          <w:rFonts w:ascii="Times New Roman" w:eastAsia="Times New Roman" w:hAnsi="Times New Roman" w:cs="Times New Roman"/>
          <w:b/>
          <w:kern w:val="0"/>
          <w:position w:val="-1"/>
          <w:sz w:val="28"/>
          <w:szCs w:val="28"/>
          <w:lang w:val="en-US"/>
          <w14:ligatures w14:val="none"/>
        </w:rPr>
        <w:t xml:space="preserve">Analisis Yuridis Wanprestasi Akibat Adanya Sengketa Lahan dalam Perjanjian Kerja Sama Operasi Pertambangan (Studi Putusan Pengadilan Negeri Jakarta Utara </w:t>
      </w:r>
      <w:proofErr w:type="gramStart"/>
      <w:r w:rsidRPr="00A72D49">
        <w:rPr>
          <w:rFonts w:ascii="Times New Roman" w:eastAsia="Times New Roman" w:hAnsi="Times New Roman" w:cs="Times New Roman"/>
          <w:b/>
          <w:kern w:val="0"/>
          <w:position w:val="-1"/>
          <w:sz w:val="28"/>
          <w:szCs w:val="28"/>
          <w:lang w:val="en-US"/>
          <w14:ligatures w14:val="none"/>
        </w:rPr>
        <w:t>Nomor :</w:t>
      </w:r>
      <w:proofErr w:type="gramEnd"/>
      <w:r w:rsidRPr="00A72D49">
        <w:rPr>
          <w:rFonts w:ascii="Times New Roman" w:eastAsia="Times New Roman" w:hAnsi="Times New Roman" w:cs="Times New Roman"/>
          <w:b/>
          <w:kern w:val="0"/>
          <w:position w:val="-1"/>
          <w:sz w:val="28"/>
          <w:szCs w:val="28"/>
          <w:lang w:val="en-US"/>
          <w14:ligatures w14:val="none"/>
        </w:rPr>
        <w:t xml:space="preserve"> 711/Pdt.G/2022/PN.Jkt.Utr)</w:t>
      </w:r>
      <w:r w:rsidR="00D45797">
        <w:rPr>
          <w:rFonts w:ascii="Times New Roman" w:eastAsia="Times New Roman" w:hAnsi="Times New Roman" w:cs="Times New Roman"/>
          <w:b/>
          <w:kern w:val="0"/>
          <w:position w:val="-1"/>
          <w:sz w:val="28"/>
          <w:szCs w:val="28"/>
          <w:lang w:val="en-US"/>
          <w14:ligatures w14:val="none"/>
        </w:rPr>
        <w:t xml:space="preserve"> </w:t>
      </w:r>
      <w:bookmarkStart w:id="0" w:name="_GoBack"/>
      <w:bookmarkEnd w:id="0"/>
      <w:r w:rsidRPr="00A72D49">
        <w:rPr>
          <w:rFonts w:ascii="Times New Roman" w:eastAsia="Times New Roman" w:hAnsi="Times New Roman" w:cs="Times New Roman"/>
          <w:b/>
          <w:kern w:val="0"/>
          <w:position w:val="-1"/>
          <w:sz w:val="28"/>
          <w:szCs w:val="28"/>
          <w:lang w:val="en-US"/>
          <w14:ligatures w14:val="none"/>
        </w:rPr>
        <w:t xml:space="preserve"> </w:t>
      </w:r>
      <w:r w:rsidR="00D431A8" w:rsidRPr="00D431A8">
        <w:rPr>
          <w:rFonts w:ascii="Times New Roman" w:eastAsia="Times New Roman" w:hAnsi="Times New Roman" w:cs="Times New Roman"/>
          <w:b/>
          <w:kern w:val="0"/>
          <w:position w:val="-1"/>
          <w:sz w:val="28"/>
          <w:szCs w:val="28"/>
          <w:lang w:val="en-US"/>
          <w14:ligatures w14:val="none"/>
        </w:rPr>
        <w:t xml:space="preserve"> </w:t>
      </w:r>
    </w:p>
    <w:p w14:paraId="682B69D7" w14:textId="7244733A" w:rsidR="00783A88" w:rsidRDefault="00972C66" w:rsidP="00783A88">
      <w:pPr>
        <w:tabs>
          <w:tab w:val="left" w:pos="2964"/>
          <w:tab w:val="center" w:pos="4512"/>
        </w:tabs>
        <w:spacing w:after="120"/>
        <w:jc w:val="center"/>
        <w:rPr>
          <w:rFonts w:ascii="Times New Roman" w:eastAsia="Times New Roman" w:hAnsi="Times New Roman" w:cs="Times New Roman"/>
          <w:bCs/>
          <w:kern w:val="0"/>
          <w:sz w:val="22"/>
          <w:lang w:val="en-ID"/>
          <w14:ligatures w14:val="none"/>
        </w:rPr>
      </w:pPr>
      <w:r w:rsidRPr="00972C66">
        <w:rPr>
          <w:rFonts w:ascii="Times New Roman" w:eastAsia="Times New Roman" w:hAnsi="Times New Roman" w:cs="Times New Roman"/>
          <w:bCs/>
          <w:kern w:val="0"/>
          <w:sz w:val="22"/>
          <w:lang w:val="en-ID"/>
          <w14:ligatures w14:val="none"/>
        </w:rPr>
        <w:t>Nada Bela Alawiyah</w:t>
      </w:r>
      <w:r w:rsidRPr="00972C66">
        <w:rPr>
          <w:rFonts w:ascii="Times New Roman" w:eastAsia="Times New Roman" w:hAnsi="Times New Roman" w:cs="Times New Roman"/>
          <w:bCs/>
          <w:kern w:val="0"/>
          <w:sz w:val="22"/>
          <w:vertAlign w:val="superscript"/>
          <w:lang w:val="en-ID"/>
          <w14:ligatures w14:val="none"/>
        </w:rPr>
        <w:t>1</w:t>
      </w:r>
      <w:r>
        <w:rPr>
          <w:rFonts w:ascii="Times New Roman" w:eastAsia="Times New Roman" w:hAnsi="Times New Roman" w:cs="Times New Roman"/>
          <w:bCs/>
          <w:kern w:val="0"/>
          <w:sz w:val="22"/>
          <w:vertAlign w:val="superscript"/>
          <w:lang w:val="en-ID"/>
          <w14:ligatures w14:val="none"/>
        </w:rPr>
        <w:t>*</w:t>
      </w:r>
      <w:r w:rsidRPr="00972C66">
        <w:rPr>
          <w:rFonts w:ascii="Times New Roman" w:eastAsia="Times New Roman" w:hAnsi="Times New Roman" w:cs="Times New Roman"/>
          <w:bCs/>
          <w:kern w:val="0"/>
          <w:sz w:val="22"/>
          <w:lang w:val="en-ID"/>
          <w14:ligatures w14:val="none"/>
        </w:rPr>
        <w:t>, Rahmad Sujud Hidayat</w:t>
      </w:r>
      <w:r w:rsidRPr="00972C66">
        <w:rPr>
          <w:rFonts w:ascii="Times New Roman" w:eastAsia="Times New Roman" w:hAnsi="Times New Roman" w:cs="Times New Roman"/>
          <w:bCs/>
          <w:kern w:val="0"/>
          <w:sz w:val="22"/>
          <w:vertAlign w:val="superscript"/>
          <w:lang w:val="en-ID"/>
          <w14:ligatures w14:val="none"/>
        </w:rPr>
        <w:t>2</w:t>
      </w:r>
      <w:r w:rsidRPr="00972C66">
        <w:rPr>
          <w:rFonts w:ascii="Times New Roman" w:eastAsia="Times New Roman" w:hAnsi="Times New Roman" w:cs="Times New Roman"/>
          <w:bCs/>
          <w:kern w:val="0"/>
          <w:sz w:val="22"/>
          <w:lang w:val="en-ID"/>
          <w14:ligatures w14:val="none"/>
        </w:rPr>
        <w:t>, Naufal Ilham Ramadhan</w:t>
      </w:r>
      <w:r w:rsidRPr="00972C66">
        <w:rPr>
          <w:rFonts w:ascii="Times New Roman" w:eastAsia="Times New Roman" w:hAnsi="Times New Roman" w:cs="Times New Roman"/>
          <w:bCs/>
          <w:kern w:val="0"/>
          <w:sz w:val="22"/>
          <w:vertAlign w:val="superscript"/>
          <w:lang w:val="en-ID"/>
          <w14:ligatures w14:val="none"/>
        </w:rPr>
        <w:t>3</w:t>
      </w:r>
      <w:r w:rsidR="00783A88" w:rsidRPr="00783A88">
        <w:rPr>
          <w:rFonts w:ascii="Times New Roman" w:eastAsia="Times New Roman" w:hAnsi="Times New Roman" w:cs="Times New Roman"/>
          <w:bCs/>
          <w:kern w:val="0"/>
          <w:sz w:val="22"/>
          <w:lang w:val="en-ID"/>
          <w14:ligatures w14:val="none"/>
        </w:rPr>
        <w:t xml:space="preserve"> </w:t>
      </w:r>
    </w:p>
    <w:p w14:paraId="6C9B704F" w14:textId="6CB96790" w:rsidR="00CA4D48" w:rsidRPr="00CA4D48" w:rsidRDefault="00CA4D48" w:rsidP="00CA4D48">
      <w:pPr>
        <w:jc w:val="center"/>
        <w:rPr>
          <w:rFonts w:ascii="Times New Roman" w:eastAsia="Times New Roman" w:hAnsi="Times New Roman" w:cs="Times New Roman"/>
          <w:kern w:val="0"/>
          <w:sz w:val="18"/>
          <w:szCs w:val="20"/>
          <w:lang w:val="en-ID"/>
          <w14:ligatures w14:val="none"/>
        </w:rPr>
      </w:pPr>
      <w:r w:rsidRPr="00CA4D48">
        <w:rPr>
          <w:rFonts w:ascii="Times New Roman" w:eastAsia="Times New Roman" w:hAnsi="Times New Roman" w:cs="Times New Roman"/>
          <w:kern w:val="0"/>
          <w:sz w:val="18"/>
          <w:szCs w:val="20"/>
          <w:vertAlign w:val="superscript"/>
          <w:lang w:val="en-ID"/>
          <w14:ligatures w14:val="none"/>
        </w:rPr>
        <w:t>1,2,3</w:t>
      </w:r>
      <w:r w:rsidR="00972C66" w:rsidRPr="00972C66">
        <w:rPr>
          <w:rFonts w:ascii="Times New Roman" w:eastAsia="Times New Roman" w:hAnsi="Times New Roman" w:cs="Times New Roman"/>
          <w:kern w:val="0"/>
          <w:sz w:val="18"/>
          <w:szCs w:val="20"/>
          <w:lang w:val="en-ID"/>
          <w14:ligatures w14:val="none"/>
        </w:rPr>
        <w:t>Ilmu Hukum, Fakultas Hukum, Universitas Tangerang Raya, Perumahan Sudirman Indah Blok E, Tigaraksa Kab. Tangerang, Banten</w:t>
      </w:r>
    </w:p>
    <w:p w14:paraId="622836FF" w14:textId="3778B261" w:rsidR="00D451DB" w:rsidRDefault="00783A88" w:rsidP="007F3011">
      <w:pPr>
        <w:jc w:val="center"/>
        <w:rPr>
          <w:rFonts w:ascii="Times New Roman" w:hAnsi="Times New Roman" w:cs="Times New Roman"/>
          <w:b/>
          <w:bCs/>
          <w:i/>
          <w:sz w:val="20"/>
          <w:szCs w:val="22"/>
        </w:rPr>
      </w:pPr>
      <w:r w:rsidRPr="00783A88">
        <w:rPr>
          <w:rFonts w:ascii="Times New Roman" w:eastAsia="Times New Roman" w:hAnsi="Times New Roman" w:cs="Times New Roman"/>
          <w:bCs/>
          <w:sz w:val="18"/>
        </w:rPr>
        <w:t>ferdiansyahadipu19@gmail.com</w:t>
      </w:r>
    </w:p>
    <w:p w14:paraId="0B58529A" w14:textId="77777777" w:rsidR="00783A88" w:rsidRDefault="00783A88" w:rsidP="0060036A">
      <w:pPr>
        <w:pStyle w:val="Heading1"/>
        <w:spacing w:before="0"/>
        <w:ind w:right="31"/>
        <w:jc w:val="center"/>
        <w:rPr>
          <w:rFonts w:ascii="Times New Roman" w:hAnsi="Times New Roman" w:cs="Times New Roman"/>
          <w:b/>
          <w:bCs/>
          <w:i/>
          <w:color w:val="auto"/>
          <w:sz w:val="20"/>
          <w:szCs w:val="22"/>
        </w:rPr>
      </w:pPr>
    </w:p>
    <w:p w14:paraId="03B96DF4" w14:textId="153660B2" w:rsidR="0060036A" w:rsidRDefault="0060036A" w:rsidP="00783A88">
      <w:pPr>
        <w:pStyle w:val="Heading1"/>
        <w:spacing w:before="0"/>
        <w:ind w:right="31"/>
        <w:jc w:val="center"/>
        <w:rPr>
          <w:rFonts w:ascii="Times New Roman" w:hAnsi="Times New Roman" w:cs="Times New Roman"/>
          <w:b/>
          <w:bCs/>
          <w:i/>
          <w:color w:val="auto"/>
          <w:sz w:val="20"/>
          <w:szCs w:val="22"/>
        </w:rPr>
      </w:pPr>
      <w:r w:rsidRPr="0060036A">
        <w:rPr>
          <w:rFonts w:ascii="Times New Roman" w:hAnsi="Times New Roman" w:cs="Times New Roman"/>
          <w:b/>
          <w:bCs/>
          <w:i/>
          <w:color w:val="auto"/>
          <w:sz w:val="20"/>
          <w:szCs w:val="22"/>
        </w:rPr>
        <w:t>Abstract</w:t>
      </w:r>
    </w:p>
    <w:p w14:paraId="62D0E0CA" w14:textId="77777777" w:rsidR="00074391" w:rsidRPr="00074391" w:rsidRDefault="00074391" w:rsidP="00074391">
      <w:pPr>
        <w:pStyle w:val="NormalWeb"/>
        <w:spacing w:before="0" w:beforeAutospacing="0" w:after="0" w:afterAutospacing="0"/>
        <w:jc w:val="both"/>
        <w:rPr>
          <w:sz w:val="20"/>
          <w:szCs w:val="20"/>
        </w:rPr>
      </w:pPr>
      <w:r w:rsidRPr="00074391">
        <w:rPr>
          <w:sz w:val="20"/>
          <w:szCs w:val="20"/>
        </w:rPr>
        <w:t>An Operational Cooperation Agreement (KSO) binds the parties to fulfill their rights and obligations as stipulated therein. In mining operations, land disputes can hinder activities and lead to a breach of contract, as evidenced by North Jakarta District Court Decision Number 711/Pdt.G/2022/PN.Jkt.Utr concerning the Nickel Ore Production KSO between PT Fortino Artha Sejahtera and PT Aneka Nusantara Internasional. This study aims to analyze the validity of the KSO under the Indonesian Civil Code (KUHPerdata), the judge's legal reasoning, and the legal consequences of a breach of contract arising from land disputes. A normative legal research method was employed, utilizing statutory, conceptual, and case approaches. Primary legal materials included the Civil Code, court decisions, and relevant regulations, while secondary materials were drawn from books, journals, and relevant literature. A qualitative analysis was conducted using a descriptive-analytical method. The findings indicate that the KSO met the requirements for a valid agreement under Article 1320 of the Civil Code and is binding pursuant to Article 1338 of the Civil Code. Land disputes emerged as the primary factor hindering mining operations, resulting in a failure to fulfill contractual obligations. While the judge's reasoning addressed the terms of the agreement and the breach of contract, further analysis could be applied regarding the principle of good faith, risk allocation, and legal protection for the parties. Consequences of a breach of contract may include demands for performance, compensation for damages, or contract termination, in accordance with Articles 1238, 1243, 1266, and 1267 of the Civil Code. Establishing the legal status of the land prior to cooperation is crucial for preventing disputes and ensuring legal certainty for the parties involved.</w:t>
      </w:r>
    </w:p>
    <w:p w14:paraId="0C6D0B9B" w14:textId="4CEFF169" w:rsidR="007F713A" w:rsidRPr="007F713A" w:rsidRDefault="00074391" w:rsidP="00074391">
      <w:pPr>
        <w:pStyle w:val="NormalWeb"/>
        <w:spacing w:before="0" w:beforeAutospacing="0" w:after="0" w:afterAutospacing="0"/>
        <w:jc w:val="both"/>
        <w:rPr>
          <w:sz w:val="20"/>
          <w:szCs w:val="20"/>
        </w:rPr>
      </w:pPr>
      <w:r w:rsidRPr="00074391">
        <w:rPr>
          <w:b/>
          <w:sz w:val="20"/>
          <w:szCs w:val="20"/>
        </w:rPr>
        <w:t>Keywords:</w:t>
      </w:r>
      <w:r w:rsidRPr="00074391">
        <w:rPr>
          <w:sz w:val="20"/>
          <w:szCs w:val="20"/>
        </w:rPr>
        <w:t xml:space="preserve"> Breach of Contract, Land Dispute, Operational Cooperation Agreement, Mining, Court Decision.</w:t>
      </w:r>
    </w:p>
    <w:p w14:paraId="0539FF44" w14:textId="4CF920D3" w:rsidR="00E63911" w:rsidRPr="00E63911" w:rsidRDefault="00E63911" w:rsidP="007F713A">
      <w:pPr>
        <w:ind w:right="144"/>
        <w:jc w:val="both"/>
        <w:rPr>
          <w:rFonts w:ascii="Times New Roman" w:eastAsia="Times New Roman" w:hAnsi="Times New Roman" w:cs="Times New Roman"/>
          <w:kern w:val="0"/>
          <w:sz w:val="20"/>
          <w:szCs w:val="20"/>
          <w:lang w:val="en-ID"/>
          <w14:ligatures w14:val="none"/>
        </w:rPr>
      </w:pPr>
    </w:p>
    <w:p w14:paraId="1D0284C9" w14:textId="77777777" w:rsidR="00AC6477" w:rsidRPr="0060036A" w:rsidRDefault="00AC6477" w:rsidP="0060036A">
      <w:pPr>
        <w:pStyle w:val="Heading1"/>
        <w:spacing w:before="0"/>
        <w:ind w:right="31"/>
        <w:jc w:val="center"/>
        <w:rPr>
          <w:rFonts w:ascii="Times New Roman" w:hAnsi="Times New Roman" w:cs="Times New Roman"/>
          <w:b/>
          <w:bCs/>
          <w:color w:val="auto"/>
          <w:sz w:val="20"/>
          <w:szCs w:val="22"/>
        </w:rPr>
      </w:pPr>
      <w:r w:rsidRPr="0060036A">
        <w:rPr>
          <w:rFonts w:ascii="Times New Roman" w:hAnsi="Times New Roman" w:cs="Times New Roman"/>
          <w:b/>
          <w:bCs/>
          <w:color w:val="auto"/>
          <w:sz w:val="20"/>
          <w:szCs w:val="22"/>
        </w:rPr>
        <w:t>Abstrak</w:t>
      </w:r>
    </w:p>
    <w:p w14:paraId="281729A5" w14:textId="77777777" w:rsidR="00074391" w:rsidRPr="00074391" w:rsidRDefault="00074391" w:rsidP="00074391">
      <w:pPr>
        <w:pStyle w:val="NormalWeb"/>
        <w:spacing w:before="0" w:beforeAutospacing="0" w:after="0" w:afterAutospacing="0"/>
        <w:jc w:val="both"/>
        <w:rPr>
          <w:rFonts w:eastAsia="Garamond"/>
          <w:sz w:val="20"/>
          <w:szCs w:val="20"/>
        </w:rPr>
      </w:pPr>
      <w:r w:rsidRPr="00074391">
        <w:rPr>
          <w:rFonts w:eastAsia="Garamond"/>
          <w:sz w:val="20"/>
          <w:szCs w:val="20"/>
        </w:rPr>
        <w:t xml:space="preserve">Perjanjian Kerja Sama Operasi (KSO) mengikat para pihak untuk memenuhi hak dan kewajiban sesuai perjanjian. Dalam praktik pertambangan, sengketa lahan dapat menghambat operasional dan menimbulkan wanprestasi, sebagaimana terlihat dalam Putusan Pengadilan Negeri Jakarta Utara Nomor 711/Pdt.G/2022/PN.Jkt.Utr terkait Perjanjian KSO Produksi Bijih Nikel antara PT Fortino Artha Sejahtera dan PT Aneka Nusantara Internasional. Penelitian ini bertujuan menganalisis keabsahan KSO berdasarkan KUHPerdata, pertimbangan hukum hakim, serta akibat hukum wanprestasi akibat sengketa lahan. Metode yang digunakan adalah penelitian hukum normatif dengan pendekatan peraturan perundang-undangan (statute approach), konseptual (conceptual approach), dan kasus (case approach). Bahan hukum primer meliputi KUHPerdata, putusan pengadilan, dan peraturan terkait, sedangkan bahan sekunder berasal dari buku, jurnal, dan literatur relevan. Analisis dilakukan secara kualitatif dengan metode deskriptif-analitis. Hasil penelitian menunjukkan bahwa KSO telah memenuhi syarat sah perjanjian Pasal 1320 KUHPerdata dan mengikat berdasarkan Pasal 1338 KUHPerdata. Sengketa lahan menjadi faktor utama terhambatnya operasi pertambangan sehingga prestasi tidak terpenuhi. Pertimbangan hakim telah mengacu pada ketentuan perjanjian dan wanprestasi, namun masih dapat diperdalam terkait asas itikad baik, pembagian risiko, dan perlindungan hukum para pihak. Akibat wanprestasi dapat berupa tuntutan pemenuhan prestasi, ganti rugi, atau pembatalan perjanjian berdasarkan Pasal 1238, 1243, 1266, dan 1267 KUHPerdata. Kepastian status hukum lahan sebelum kerja </w:t>
      </w:r>
      <w:proofErr w:type="gramStart"/>
      <w:r w:rsidRPr="00074391">
        <w:rPr>
          <w:rFonts w:eastAsia="Garamond"/>
          <w:sz w:val="20"/>
          <w:szCs w:val="20"/>
        </w:rPr>
        <w:t>sama</w:t>
      </w:r>
      <w:proofErr w:type="gramEnd"/>
      <w:r w:rsidRPr="00074391">
        <w:rPr>
          <w:rFonts w:eastAsia="Garamond"/>
          <w:sz w:val="20"/>
          <w:szCs w:val="20"/>
        </w:rPr>
        <w:t xml:space="preserve"> penting untuk mencegah sengketa dan menjamin kepastian hukum para pihak.</w:t>
      </w:r>
    </w:p>
    <w:p w14:paraId="179C56BA" w14:textId="5EE02105" w:rsidR="007F3011" w:rsidRPr="007F3011" w:rsidRDefault="007F3011" w:rsidP="007F3011">
      <w:pPr>
        <w:pStyle w:val="NormalWeb"/>
        <w:spacing w:before="0" w:beforeAutospacing="0" w:after="0" w:afterAutospacing="0"/>
        <w:jc w:val="both"/>
        <w:rPr>
          <w:rFonts w:eastAsia="Garamond"/>
          <w:sz w:val="20"/>
          <w:szCs w:val="20"/>
        </w:rPr>
      </w:pPr>
      <w:r w:rsidRPr="007F3011">
        <w:rPr>
          <w:rFonts w:eastAsia="Garamond"/>
          <w:b/>
          <w:sz w:val="20"/>
          <w:szCs w:val="20"/>
        </w:rPr>
        <w:t>Kata Kunci:</w:t>
      </w:r>
      <w:r w:rsidRPr="007F3011">
        <w:rPr>
          <w:rFonts w:eastAsia="Garamond"/>
          <w:sz w:val="20"/>
          <w:szCs w:val="20"/>
        </w:rPr>
        <w:t xml:space="preserve"> </w:t>
      </w:r>
      <w:r w:rsidR="00074391" w:rsidRPr="00074391">
        <w:rPr>
          <w:rFonts w:eastAsia="Garamond"/>
          <w:sz w:val="20"/>
          <w:szCs w:val="20"/>
        </w:rPr>
        <w:t>Wanprestasi, Sengketa Lahan, Perjanjian Kerja Sama Operasi, Pertambangan, Putusan Pengadilan.</w:t>
      </w:r>
    </w:p>
    <w:p w14:paraId="1BFAA53F" w14:textId="77777777" w:rsidR="008F2060" w:rsidRPr="008F2060" w:rsidRDefault="008F2060" w:rsidP="008F2060">
      <w:pPr>
        <w:pStyle w:val="NormalWeb"/>
        <w:spacing w:before="0" w:beforeAutospacing="0" w:after="0" w:afterAutospacing="0"/>
        <w:jc w:val="both"/>
        <w:rPr>
          <w:rFonts w:eastAsia="Garamond"/>
          <w:sz w:val="20"/>
          <w:szCs w:val="20"/>
        </w:rPr>
      </w:pPr>
    </w:p>
    <w:p w14:paraId="4C6D4172" w14:textId="03C5D79C" w:rsidR="002C3BF9" w:rsidRPr="0077203C" w:rsidRDefault="00FA58B1" w:rsidP="002C3BF9">
      <w:pPr>
        <w:pBdr>
          <w:bottom w:val="single" w:sz="6" w:space="1" w:color="000000"/>
        </w:pBdr>
        <w:ind w:hanging="2"/>
        <w:jc w:val="right"/>
        <w:rPr>
          <w:rFonts w:ascii="Times New Roman" w:hAnsi="Times New Roman" w:cs="Times New Roman"/>
          <w:sz w:val="20"/>
          <w:szCs w:val="20"/>
        </w:rPr>
      </w:pPr>
      <w:r>
        <w:rPr>
          <w:rFonts w:ascii="Times New Roman" w:hAnsi="Times New Roman" w:cs="Times New Roman"/>
          <w:sz w:val="20"/>
          <w:szCs w:val="20"/>
        </w:rPr>
        <w:t>Copyright (c) 2026</w:t>
      </w:r>
      <w:r w:rsidR="002C3BF9" w:rsidRPr="0077203C">
        <w:rPr>
          <w:rFonts w:ascii="Times New Roman" w:hAnsi="Times New Roman" w:cs="Times New Roman"/>
          <w:sz w:val="20"/>
          <w:szCs w:val="20"/>
        </w:rPr>
        <w:t xml:space="preserve"> </w:t>
      </w:r>
      <w:r w:rsidR="00074391">
        <w:rPr>
          <w:rFonts w:ascii="Times New Roman" w:hAnsi="Times New Roman" w:cs="Times New Roman"/>
          <w:sz w:val="20"/>
          <w:szCs w:val="20"/>
        </w:rPr>
        <w:t>Nada Bela Alawiyah</w:t>
      </w:r>
      <w:r w:rsidR="00074391" w:rsidRPr="00074391">
        <w:rPr>
          <w:rFonts w:ascii="Times New Roman" w:hAnsi="Times New Roman" w:cs="Times New Roman"/>
          <w:sz w:val="20"/>
          <w:szCs w:val="20"/>
        </w:rPr>
        <w:t xml:space="preserve">, Rahmad Sujud </w:t>
      </w:r>
      <w:r w:rsidR="00074391">
        <w:rPr>
          <w:rFonts w:ascii="Times New Roman" w:hAnsi="Times New Roman" w:cs="Times New Roman"/>
          <w:sz w:val="20"/>
          <w:szCs w:val="20"/>
        </w:rPr>
        <w:t>Hidayat, Naufal Ilham Ramadhan</w:t>
      </w:r>
      <w:r w:rsidR="00074391" w:rsidRPr="00074391">
        <w:rPr>
          <w:rFonts w:ascii="Times New Roman" w:hAnsi="Times New Roman" w:cs="Times New Roman"/>
          <w:sz w:val="20"/>
          <w:szCs w:val="20"/>
        </w:rPr>
        <w:t xml:space="preserve"> </w:t>
      </w:r>
      <w:r w:rsidR="003D27F3" w:rsidRPr="003D27F3">
        <w:rPr>
          <w:rFonts w:ascii="Times New Roman" w:hAnsi="Times New Roman" w:cs="Times New Roman"/>
          <w:sz w:val="20"/>
          <w:szCs w:val="20"/>
        </w:rPr>
        <w:t xml:space="preserve"> </w:t>
      </w:r>
      <w:r w:rsidR="00C36F18" w:rsidRPr="00C36F18">
        <w:rPr>
          <w:rFonts w:ascii="Times New Roman" w:hAnsi="Times New Roman" w:cs="Times New Roman"/>
          <w:sz w:val="20"/>
          <w:szCs w:val="20"/>
        </w:rPr>
        <w:t xml:space="preserve">   </w:t>
      </w:r>
      <w:r w:rsidR="00454EB4" w:rsidRPr="00454EB4">
        <w:rPr>
          <w:rFonts w:ascii="Times New Roman" w:hAnsi="Times New Roman" w:cs="Times New Roman"/>
          <w:sz w:val="20"/>
          <w:szCs w:val="20"/>
        </w:rPr>
        <w:t xml:space="preserve"> </w:t>
      </w:r>
      <w:r w:rsidR="005D13EF" w:rsidRPr="005D13EF">
        <w:rPr>
          <w:rFonts w:ascii="Times New Roman" w:hAnsi="Times New Roman" w:cs="Times New Roman"/>
          <w:sz w:val="20"/>
          <w:szCs w:val="20"/>
        </w:rPr>
        <w:t xml:space="preserve"> </w:t>
      </w:r>
      <w:r w:rsidR="008F178C" w:rsidRPr="008F178C">
        <w:rPr>
          <w:rFonts w:ascii="Times New Roman" w:hAnsi="Times New Roman" w:cs="Times New Roman"/>
          <w:sz w:val="20"/>
          <w:szCs w:val="20"/>
        </w:rPr>
        <w:t xml:space="preserve"> </w:t>
      </w:r>
      <w:r w:rsidR="00D66865" w:rsidRPr="00D66865">
        <w:rPr>
          <w:rFonts w:ascii="Times New Roman" w:hAnsi="Times New Roman" w:cs="Times New Roman"/>
          <w:sz w:val="20"/>
          <w:szCs w:val="20"/>
        </w:rPr>
        <w:t xml:space="preserve"> </w:t>
      </w:r>
      <w:r w:rsidR="00CD2490" w:rsidRPr="00CD2490">
        <w:rPr>
          <w:rFonts w:ascii="Times New Roman" w:hAnsi="Times New Roman" w:cs="Times New Roman"/>
          <w:sz w:val="20"/>
          <w:szCs w:val="20"/>
        </w:rPr>
        <w:t xml:space="preserve"> </w:t>
      </w:r>
      <w:r w:rsidR="00DD5FFA" w:rsidRPr="00DD5FFA">
        <w:rPr>
          <w:rFonts w:ascii="Times New Roman" w:hAnsi="Times New Roman" w:cs="Times New Roman"/>
          <w:sz w:val="20"/>
          <w:szCs w:val="20"/>
        </w:rPr>
        <w:t xml:space="preserve"> </w:t>
      </w:r>
      <w:r w:rsidR="002506A0" w:rsidRPr="002506A0">
        <w:rPr>
          <w:rFonts w:ascii="Times New Roman" w:hAnsi="Times New Roman" w:cs="Times New Roman"/>
          <w:sz w:val="20"/>
          <w:szCs w:val="20"/>
        </w:rPr>
        <w:t xml:space="preserve"> </w:t>
      </w:r>
      <w:r w:rsidR="00C51D20" w:rsidRPr="00C51D20">
        <w:rPr>
          <w:rFonts w:ascii="Times New Roman" w:hAnsi="Times New Roman" w:cs="Times New Roman"/>
          <w:sz w:val="20"/>
          <w:szCs w:val="20"/>
        </w:rPr>
        <w:t xml:space="preserve">    </w:t>
      </w:r>
      <w:r w:rsidR="00693C23" w:rsidRPr="00693C23">
        <w:rPr>
          <w:rFonts w:ascii="Times New Roman" w:hAnsi="Times New Roman" w:cs="Times New Roman"/>
          <w:sz w:val="20"/>
          <w:szCs w:val="20"/>
        </w:rPr>
        <w:t xml:space="preserve"> </w:t>
      </w:r>
      <w:r w:rsidR="005D0291" w:rsidRPr="005D0291">
        <w:rPr>
          <w:rFonts w:ascii="Times New Roman" w:hAnsi="Times New Roman" w:cs="Times New Roman"/>
          <w:sz w:val="20"/>
          <w:szCs w:val="20"/>
        </w:rPr>
        <w:t xml:space="preserve"> </w:t>
      </w:r>
      <w:r w:rsidR="00596AD5" w:rsidRPr="00596AD5">
        <w:rPr>
          <w:rFonts w:ascii="Times New Roman" w:hAnsi="Times New Roman" w:cs="Times New Roman"/>
          <w:sz w:val="20"/>
          <w:szCs w:val="20"/>
        </w:rPr>
        <w:t xml:space="preserve"> </w:t>
      </w:r>
      <w:r w:rsidR="00FE484F" w:rsidRPr="00FE484F">
        <w:rPr>
          <w:rFonts w:ascii="Times New Roman" w:hAnsi="Times New Roman" w:cs="Times New Roman"/>
          <w:sz w:val="20"/>
          <w:szCs w:val="20"/>
        </w:rPr>
        <w:t xml:space="preserve"> </w:t>
      </w:r>
      <w:r w:rsidR="004A1431" w:rsidRPr="004A1431">
        <w:rPr>
          <w:rFonts w:ascii="Times New Roman" w:hAnsi="Times New Roman" w:cs="Times New Roman"/>
          <w:sz w:val="20"/>
          <w:szCs w:val="20"/>
        </w:rPr>
        <w:t xml:space="preserve">     </w:t>
      </w:r>
      <w:r w:rsidR="001B6914" w:rsidRPr="001B6914">
        <w:rPr>
          <w:rFonts w:ascii="Times New Roman" w:hAnsi="Times New Roman" w:cs="Times New Roman"/>
          <w:sz w:val="20"/>
          <w:szCs w:val="20"/>
        </w:rPr>
        <w:t xml:space="preserve">     </w:t>
      </w:r>
      <w:r w:rsidR="000A5A66" w:rsidRPr="000A5A66">
        <w:rPr>
          <w:rFonts w:ascii="Times New Roman" w:hAnsi="Times New Roman" w:cs="Times New Roman"/>
          <w:sz w:val="20"/>
          <w:szCs w:val="20"/>
        </w:rPr>
        <w:t xml:space="preserve">     </w:t>
      </w:r>
      <w:r w:rsidR="002E4CA7" w:rsidRPr="002E4CA7">
        <w:rPr>
          <w:rFonts w:ascii="Times New Roman" w:hAnsi="Times New Roman" w:cs="Times New Roman"/>
          <w:sz w:val="20"/>
          <w:szCs w:val="20"/>
        </w:rPr>
        <w:t xml:space="preserve">     </w:t>
      </w:r>
      <w:r w:rsidR="00CE0FC3" w:rsidRPr="00CE0FC3">
        <w:rPr>
          <w:rFonts w:ascii="Times New Roman" w:hAnsi="Times New Roman" w:cs="Times New Roman"/>
          <w:sz w:val="20"/>
          <w:szCs w:val="20"/>
        </w:rPr>
        <w:t xml:space="preserve">     </w:t>
      </w:r>
      <w:r w:rsidR="00C03971" w:rsidRPr="00C03971">
        <w:rPr>
          <w:rFonts w:ascii="Times New Roman" w:hAnsi="Times New Roman" w:cs="Times New Roman"/>
          <w:sz w:val="20"/>
          <w:szCs w:val="20"/>
        </w:rPr>
        <w:t xml:space="preserve">   </w:t>
      </w:r>
      <w:r w:rsidR="001E41E6" w:rsidRPr="001E41E6">
        <w:rPr>
          <w:rFonts w:ascii="Times New Roman" w:hAnsi="Times New Roman" w:cs="Times New Roman"/>
          <w:sz w:val="20"/>
          <w:szCs w:val="20"/>
        </w:rPr>
        <w:t xml:space="preserve">   </w:t>
      </w:r>
      <w:r w:rsidR="000125C2" w:rsidRPr="000125C2">
        <w:rPr>
          <w:rFonts w:ascii="Times New Roman" w:hAnsi="Times New Roman" w:cs="Times New Roman"/>
          <w:sz w:val="20"/>
          <w:szCs w:val="20"/>
        </w:rPr>
        <w:t xml:space="preserve">   </w:t>
      </w:r>
      <w:r w:rsidR="00E70B0B" w:rsidRPr="00E70B0B">
        <w:rPr>
          <w:rFonts w:ascii="Times New Roman" w:hAnsi="Times New Roman" w:cs="Times New Roman"/>
          <w:sz w:val="20"/>
          <w:szCs w:val="20"/>
        </w:rPr>
        <w:t xml:space="preserve">   </w:t>
      </w:r>
      <w:r w:rsidR="00EE0412" w:rsidRPr="00EE0412">
        <w:rPr>
          <w:rFonts w:ascii="Times New Roman" w:hAnsi="Times New Roman" w:cs="Times New Roman"/>
          <w:sz w:val="20"/>
          <w:szCs w:val="20"/>
        </w:rPr>
        <w:t xml:space="preserve">   </w:t>
      </w:r>
      <w:r w:rsidR="00D5079F" w:rsidRPr="00D5079F">
        <w:rPr>
          <w:rFonts w:ascii="Times New Roman" w:hAnsi="Times New Roman" w:cs="Times New Roman"/>
          <w:sz w:val="20"/>
          <w:szCs w:val="20"/>
        </w:rPr>
        <w:t xml:space="preserve">   </w:t>
      </w:r>
      <w:r w:rsidR="001B4DC4" w:rsidRPr="001B4DC4">
        <w:rPr>
          <w:rFonts w:ascii="Times New Roman" w:hAnsi="Times New Roman" w:cs="Times New Roman"/>
          <w:sz w:val="20"/>
          <w:szCs w:val="20"/>
        </w:rPr>
        <w:t xml:space="preserve">   </w:t>
      </w:r>
      <w:r w:rsidR="000F25A4" w:rsidRPr="000F25A4">
        <w:rPr>
          <w:rFonts w:ascii="Times New Roman" w:hAnsi="Times New Roman" w:cs="Times New Roman"/>
          <w:sz w:val="20"/>
          <w:szCs w:val="20"/>
        </w:rPr>
        <w:t xml:space="preserve">  </w:t>
      </w:r>
      <w:r w:rsidR="00737C9A" w:rsidRPr="00737C9A">
        <w:rPr>
          <w:rFonts w:ascii="Times New Roman" w:hAnsi="Times New Roman" w:cs="Times New Roman"/>
          <w:sz w:val="20"/>
          <w:szCs w:val="20"/>
        </w:rPr>
        <w:t xml:space="preserve">   </w:t>
      </w:r>
    </w:p>
    <w:p w14:paraId="16748596" w14:textId="0CEEEC6B" w:rsidR="002C3BF9" w:rsidRPr="0077203C" w:rsidRDefault="002C3BF9" w:rsidP="002C3BF9">
      <w:pPr>
        <w:adjustRightInd w:val="0"/>
        <w:ind w:right="31"/>
        <w:jc w:val="both"/>
        <w:rPr>
          <w:rFonts w:ascii="Times New Roman" w:hAnsi="Times New Roman" w:cs="Times New Roman"/>
          <w:sz w:val="20"/>
          <w:szCs w:val="20"/>
        </w:rPr>
      </w:pPr>
      <w:r w:rsidRPr="0077203C">
        <w:rPr>
          <w:rFonts w:ascii="Segoe UI Symbol" w:hAnsi="Segoe UI Symbol" w:cs="Segoe UI Symbol"/>
          <w:sz w:val="20"/>
          <w:szCs w:val="20"/>
        </w:rPr>
        <w:t>🖂</w:t>
      </w:r>
      <w:r w:rsidR="009A6A87" w:rsidRPr="0077203C">
        <w:rPr>
          <w:rFonts w:ascii="Times New Roman" w:hAnsi="Times New Roman" w:cs="Times New Roman"/>
          <w:sz w:val="20"/>
          <w:szCs w:val="20"/>
        </w:rPr>
        <w:t xml:space="preserve"> Corresponding author: </w:t>
      </w:r>
      <w:r w:rsidR="00074391">
        <w:rPr>
          <w:rFonts w:ascii="Times New Roman" w:hAnsi="Times New Roman" w:cs="Times New Roman"/>
          <w:sz w:val="20"/>
          <w:szCs w:val="20"/>
        </w:rPr>
        <w:t>Nada Bela Alawiyah</w:t>
      </w:r>
    </w:p>
    <w:p w14:paraId="0F3596CC" w14:textId="64021BF2" w:rsidR="002C3BF9" w:rsidRPr="00EE0412" w:rsidRDefault="002C3BF9" w:rsidP="003171E6">
      <w:pPr>
        <w:rPr>
          <w:bCs/>
          <w:sz w:val="20"/>
        </w:rPr>
      </w:pPr>
      <w:r w:rsidRPr="004A2028">
        <w:rPr>
          <w:rFonts w:ascii="Times New Roman" w:eastAsia="Times New Roman" w:hAnsi="Times New Roman" w:cs="Times New Roman"/>
          <w:bCs/>
          <w:kern w:val="0"/>
          <w:sz w:val="20"/>
          <w:lang w:val="en-ID"/>
          <w14:ligatures w14:val="none"/>
        </w:rPr>
        <w:t xml:space="preserve">Email Address: </w:t>
      </w:r>
      <w:r w:rsidR="003171E6" w:rsidRPr="003171E6">
        <w:rPr>
          <w:rFonts w:ascii="Times New Roman" w:eastAsia="Times New Roman" w:hAnsi="Times New Roman" w:cs="Times New Roman"/>
          <w:bCs/>
          <w:kern w:val="0"/>
          <w:sz w:val="20"/>
          <w:lang w:val="en-ID"/>
          <w14:ligatures w14:val="none"/>
        </w:rPr>
        <w:t>ferdiansyahadipu19@gmail.com</w:t>
      </w:r>
      <w:r w:rsidR="00075D1E" w:rsidRPr="007A2B7E">
        <w:rPr>
          <w:rFonts w:ascii="Times New Roman" w:eastAsia="Times New Roman" w:hAnsi="Times New Roman" w:cs="Times New Roman"/>
          <w:bCs/>
          <w:kern w:val="0"/>
          <w:sz w:val="20"/>
          <w:lang w:val="en-ID"/>
          <w14:ligatures w14:val="none"/>
        </w:rPr>
        <w:t xml:space="preserve"> </w:t>
      </w:r>
      <w:r w:rsidR="00670B2B" w:rsidRPr="007A2B7E">
        <w:rPr>
          <w:rFonts w:ascii="Times New Roman" w:eastAsia="Times New Roman" w:hAnsi="Times New Roman" w:cs="Times New Roman"/>
          <w:bCs/>
          <w:kern w:val="0"/>
          <w:sz w:val="20"/>
          <w:lang w:val="en-ID"/>
          <w14:ligatures w14:val="none"/>
        </w:rPr>
        <w:t>(</w:t>
      </w:r>
      <w:r w:rsidR="00B73B5F" w:rsidRPr="00B73B5F">
        <w:rPr>
          <w:rFonts w:ascii="Times New Roman" w:eastAsia="Times New Roman" w:hAnsi="Times New Roman" w:cs="Times New Roman"/>
          <w:bCs/>
          <w:kern w:val="0"/>
          <w:sz w:val="20"/>
          <w:lang w:val="en-ID"/>
          <w14:ligatures w14:val="none"/>
        </w:rPr>
        <w:t>Jl. TB Simatupang No.152, Tj. Bar., Kota Jakarta Selatan</w:t>
      </w:r>
      <w:r w:rsidR="00ED1FEA">
        <w:rPr>
          <w:bCs/>
          <w:sz w:val="20"/>
        </w:rPr>
        <w:t>)</w:t>
      </w:r>
      <w:r w:rsidR="001018D0">
        <w:rPr>
          <w:bCs/>
          <w:sz w:val="20"/>
        </w:rPr>
        <w:t xml:space="preserve"> </w:t>
      </w:r>
    </w:p>
    <w:p w14:paraId="15E6D8A5" w14:textId="19E9AAC9" w:rsidR="002C3BF9" w:rsidRDefault="00CC0207" w:rsidP="002C3BF9">
      <w:pPr>
        <w:adjustRightInd w:val="0"/>
        <w:ind w:right="31"/>
        <w:jc w:val="both"/>
        <w:rPr>
          <w:rFonts w:ascii="Times New Roman" w:hAnsi="Times New Roman" w:cs="Times New Roman"/>
          <w:sz w:val="20"/>
          <w:szCs w:val="20"/>
        </w:rPr>
      </w:pPr>
      <w:r w:rsidRPr="0077203C">
        <w:rPr>
          <w:rFonts w:ascii="Times New Roman" w:hAnsi="Times New Roman" w:cs="Times New Roman"/>
          <w:sz w:val="20"/>
          <w:szCs w:val="20"/>
        </w:rPr>
        <w:t xml:space="preserve">Received </w:t>
      </w:r>
      <w:r w:rsidR="00C80803">
        <w:rPr>
          <w:rFonts w:ascii="Times New Roman" w:hAnsi="Times New Roman" w:cs="Times New Roman"/>
          <w:sz w:val="20"/>
          <w:szCs w:val="20"/>
        </w:rPr>
        <w:t>2</w:t>
      </w:r>
      <w:r w:rsidR="005F5197">
        <w:rPr>
          <w:rFonts w:ascii="Times New Roman" w:hAnsi="Times New Roman" w:cs="Times New Roman"/>
          <w:sz w:val="20"/>
          <w:szCs w:val="20"/>
        </w:rPr>
        <w:t>7</w:t>
      </w:r>
      <w:r w:rsidR="009B218A">
        <w:rPr>
          <w:rFonts w:ascii="Times New Roman" w:hAnsi="Times New Roman" w:cs="Times New Roman"/>
          <w:sz w:val="20"/>
          <w:szCs w:val="20"/>
        </w:rPr>
        <w:t xml:space="preserve"> </w:t>
      </w:r>
      <w:r w:rsidR="004500FD">
        <w:rPr>
          <w:rFonts w:ascii="Times New Roman" w:hAnsi="Times New Roman" w:cs="Times New Roman"/>
          <w:sz w:val="20"/>
          <w:szCs w:val="20"/>
        </w:rPr>
        <w:t>July</w:t>
      </w:r>
      <w:r w:rsidR="00E27E37">
        <w:rPr>
          <w:rFonts w:ascii="Times New Roman" w:hAnsi="Times New Roman" w:cs="Times New Roman"/>
          <w:sz w:val="20"/>
          <w:szCs w:val="20"/>
        </w:rPr>
        <w:t xml:space="preserve"> 2026</w:t>
      </w:r>
      <w:r w:rsidR="00825855">
        <w:rPr>
          <w:rFonts w:ascii="Times New Roman" w:hAnsi="Times New Roman" w:cs="Times New Roman"/>
          <w:sz w:val="20"/>
          <w:szCs w:val="20"/>
        </w:rPr>
        <w:t>, Accepted</w:t>
      </w:r>
      <w:r w:rsidR="00C5752C">
        <w:rPr>
          <w:rFonts w:ascii="Times New Roman" w:hAnsi="Times New Roman" w:cs="Times New Roman"/>
          <w:sz w:val="20"/>
          <w:szCs w:val="20"/>
        </w:rPr>
        <w:t xml:space="preserve"> </w:t>
      </w:r>
      <w:r w:rsidR="005A6C91">
        <w:rPr>
          <w:rFonts w:ascii="Times New Roman" w:hAnsi="Times New Roman" w:cs="Times New Roman"/>
          <w:sz w:val="20"/>
          <w:szCs w:val="20"/>
        </w:rPr>
        <w:t>10</w:t>
      </w:r>
      <w:r w:rsidR="00825855">
        <w:rPr>
          <w:rFonts w:ascii="Times New Roman" w:hAnsi="Times New Roman" w:cs="Times New Roman"/>
          <w:sz w:val="20"/>
          <w:szCs w:val="20"/>
        </w:rPr>
        <w:t xml:space="preserve"> </w:t>
      </w:r>
      <w:r w:rsidR="000079C6">
        <w:rPr>
          <w:rFonts w:ascii="Times New Roman" w:hAnsi="Times New Roman" w:cs="Times New Roman"/>
          <w:sz w:val="20"/>
          <w:szCs w:val="20"/>
        </w:rPr>
        <w:t>August</w:t>
      </w:r>
      <w:r w:rsidR="00113739">
        <w:rPr>
          <w:rFonts w:ascii="Times New Roman" w:hAnsi="Times New Roman" w:cs="Times New Roman"/>
          <w:sz w:val="20"/>
          <w:szCs w:val="20"/>
        </w:rPr>
        <w:t xml:space="preserve"> 2026</w:t>
      </w:r>
      <w:r w:rsidR="002C3BF9" w:rsidRPr="0077203C">
        <w:rPr>
          <w:rFonts w:ascii="Times New Roman" w:hAnsi="Times New Roman" w:cs="Times New Roman"/>
          <w:sz w:val="20"/>
          <w:szCs w:val="20"/>
        </w:rPr>
        <w:t xml:space="preserve">, Published </w:t>
      </w:r>
      <w:r w:rsidR="005A6C91">
        <w:rPr>
          <w:rFonts w:ascii="Times New Roman" w:hAnsi="Times New Roman" w:cs="Times New Roman"/>
          <w:sz w:val="20"/>
          <w:szCs w:val="20"/>
        </w:rPr>
        <w:t>20</w:t>
      </w:r>
      <w:r w:rsidR="00113739">
        <w:rPr>
          <w:rFonts w:ascii="Times New Roman" w:hAnsi="Times New Roman" w:cs="Times New Roman"/>
          <w:sz w:val="20"/>
          <w:szCs w:val="20"/>
        </w:rPr>
        <w:t xml:space="preserve"> </w:t>
      </w:r>
      <w:r w:rsidR="000079C6">
        <w:rPr>
          <w:rFonts w:ascii="Times New Roman" w:hAnsi="Times New Roman" w:cs="Times New Roman"/>
          <w:sz w:val="20"/>
          <w:szCs w:val="20"/>
        </w:rPr>
        <w:t>August</w:t>
      </w:r>
      <w:r w:rsidR="00113739">
        <w:rPr>
          <w:rFonts w:ascii="Times New Roman" w:hAnsi="Times New Roman" w:cs="Times New Roman"/>
          <w:sz w:val="20"/>
          <w:szCs w:val="20"/>
        </w:rPr>
        <w:t xml:space="preserve"> 2026</w:t>
      </w:r>
      <w:r w:rsidR="00523066">
        <w:rPr>
          <w:rFonts w:ascii="Times New Roman" w:hAnsi="Times New Roman" w:cs="Times New Roman"/>
          <w:sz w:val="20"/>
          <w:szCs w:val="20"/>
        </w:rPr>
        <w:t xml:space="preserve"> </w:t>
      </w:r>
      <w:r w:rsidR="00285F36">
        <w:rPr>
          <w:rFonts w:ascii="Times New Roman" w:hAnsi="Times New Roman" w:cs="Times New Roman"/>
          <w:sz w:val="20"/>
          <w:szCs w:val="20"/>
        </w:rPr>
        <w:t xml:space="preserve"> </w:t>
      </w:r>
      <w:r w:rsidR="00DD41E8">
        <w:rPr>
          <w:rFonts w:ascii="Times New Roman" w:hAnsi="Times New Roman" w:cs="Times New Roman"/>
          <w:sz w:val="20"/>
          <w:szCs w:val="20"/>
        </w:rPr>
        <w:t xml:space="preserve"> </w:t>
      </w:r>
      <w:r w:rsidR="00E77AE4">
        <w:rPr>
          <w:rFonts w:ascii="Times New Roman" w:hAnsi="Times New Roman" w:cs="Times New Roman"/>
          <w:sz w:val="20"/>
          <w:szCs w:val="20"/>
        </w:rPr>
        <w:t xml:space="preserve"> </w:t>
      </w:r>
      <w:r w:rsidR="00223664">
        <w:rPr>
          <w:rFonts w:ascii="Times New Roman" w:hAnsi="Times New Roman" w:cs="Times New Roman"/>
          <w:sz w:val="20"/>
          <w:szCs w:val="20"/>
        </w:rPr>
        <w:t xml:space="preserve"> </w:t>
      </w:r>
      <w:r w:rsidR="00457636">
        <w:rPr>
          <w:rFonts w:ascii="Times New Roman" w:hAnsi="Times New Roman" w:cs="Times New Roman"/>
          <w:sz w:val="20"/>
          <w:szCs w:val="20"/>
        </w:rPr>
        <w:t xml:space="preserve"> </w:t>
      </w:r>
      <w:r w:rsidR="00E91846">
        <w:rPr>
          <w:rFonts w:ascii="Times New Roman" w:hAnsi="Times New Roman" w:cs="Times New Roman"/>
          <w:sz w:val="20"/>
          <w:szCs w:val="20"/>
        </w:rPr>
        <w:t xml:space="preserve"> </w:t>
      </w:r>
    </w:p>
    <w:p w14:paraId="67E24681" w14:textId="77777777" w:rsidR="005D13EF" w:rsidRDefault="005D13EF" w:rsidP="007C14E2">
      <w:pPr>
        <w:pStyle w:val="NormalWeb"/>
        <w:spacing w:before="0" w:beforeAutospacing="0" w:after="0" w:afterAutospacing="0"/>
        <w:jc w:val="both"/>
        <w:rPr>
          <w:b/>
          <w:sz w:val="22"/>
          <w:szCs w:val="22"/>
        </w:rPr>
      </w:pPr>
    </w:p>
    <w:p w14:paraId="104F0572" w14:textId="77777777" w:rsidR="0016626F" w:rsidRDefault="0016626F" w:rsidP="007C14E2">
      <w:pPr>
        <w:pStyle w:val="NormalWeb"/>
        <w:spacing w:before="0" w:beforeAutospacing="0" w:after="0" w:afterAutospacing="0"/>
        <w:jc w:val="both"/>
        <w:rPr>
          <w:b/>
          <w:sz w:val="22"/>
          <w:szCs w:val="22"/>
        </w:rPr>
      </w:pPr>
    </w:p>
    <w:p w14:paraId="4290B1CB" w14:textId="77777777" w:rsidR="0016626F" w:rsidRDefault="0016626F" w:rsidP="007C14E2">
      <w:pPr>
        <w:pStyle w:val="NormalWeb"/>
        <w:spacing w:before="0" w:beforeAutospacing="0" w:after="0" w:afterAutospacing="0"/>
        <w:jc w:val="both"/>
        <w:rPr>
          <w:b/>
          <w:sz w:val="22"/>
          <w:szCs w:val="22"/>
        </w:rPr>
      </w:pPr>
    </w:p>
    <w:p w14:paraId="6EB7BCD8" w14:textId="318B2931" w:rsidR="00F76E18" w:rsidRDefault="00D0132E" w:rsidP="00F76E18">
      <w:pPr>
        <w:pStyle w:val="NormalWeb"/>
        <w:spacing w:before="0" w:beforeAutospacing="0" w:after="0" w:afterAutospacing="0" w:line="360" w:lineRule="auto"/>
        <w:jc w:val="both"/>
        <w:rPr>
          <w:b/>
          <w:sz w:val="22"/>
          <w:szCs w:val="22"/>
        </w:rPr>
      </w:pPr>
      <w:r>
        <w:rPr>
          <w:b/>
          <w:sz w:val="22"/>
          <w:szCs w:val="22"/>
        </w:rPr>
        <w:lastRenderedPageBreak/>
        <w:t>PENDAHULUAN</w:t>
      </w:r>
      <w:r w:rsidR="00850D84">
        <w:rPr>
          <w:b/>
          <w:sz w:val="22"/>
          <w:szCs w:val="22"/>
        </w:rPr>
        <w:t xml:space="preserve"> </w:t>
      </w:r>
      <w:r w:rsidR="00A83DD6">
        <w:rPr>
          <w:b/>
          <w:sz w:val="22"/>
          <w:szCs w:val="22"/>
        </w:rPr>
        <w:t xml:space="preserve"> </w:t>
      </w:r>
      <w:r w:rsidR="00906191" w:rsidRPr="00F76E18">
        <w:rPr>
          <w:b/>
          <w:sz w:val="22"/>
          <w:szCs w:val="22"/>
        </w:rPr>
        <w:t xml:space="preserve"> </w:t>
      </w:r>
      <w:r w:rsidR="0077203C" w:rsidRPr="00F76E18">
        <w:rPr>
          <w:b/>
          <w:sz w:val="22"/>
          <w:szCs w:val="22"/>
        </w:rPr>
        <w:t xml:space="preserve"> </w:t>
      </w:r>
      <w:r w:rsidR="00327217">
        <w:rPr>
          <w:b/>
          <w:sz w:val="22"/>
          <w:szCs w:val="22"/>
        </w:rPr>
        <w:t xml:space="preserve"> </w:t>
      </w:r>
    </w:p>
    <w:p w14:paraId="31D5FEC6"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Perjanjian merupakan instrumen hukum yang menjadi dasar lahirnya hubungan hukum antara para pihak dalam berbagai kegiatan keperdataan, termasuk sektor pertambangan. Melalui asas pacta sunt servanda, setiap perjanjian yang dibuat secara sah berlaku sebagai undang-undang bagi para pihak sehingga wajib dilaksanakan dengan itikad baik (Subekti, 2005). Dalam praktiknya, pelaksanaan perjanjian tidak selalu berjalan sebagaimana yang telah disepakati karena adanya berbagai hambatan yang dapat mengakibatkan salah satu pihak tidak memenuhi prestasinya atau melakukan wanprestasi (Satrio, 1995).</w:t>
      </w:r>
    </w:p>
    <w:p w14:paraId="799BC120"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Dalam kegiatan pertambangan, hubungan kerja </w:t>
      </w:r>
      <w:proofErr w:type="gramStart"/>
      <w:r w:rsidRPr="001127C3">
        <w:rPr>
          <w:rFonts w:ascii="Times New Roman" w:eastAsia="Book Antiqua" w:hAnsi="Times New Roman" w:cs="Times New Roman"/>
          <w:sz w:val="22"/>
          <w:szCs w:val="22"/>
        </w:rPr>
        <w:t>sama</w:t>
      </w:r>
      <w:proofErr w:type="gramEnd"/>
      <w:r w:rsidRPr="001127C3">
        <w:rPr>
          <w:rFonts w:ascii="Times New Roman" w:eastAsia="Book Antiqua" w:hAnsi="Times New Roman" w:cs="Times New Roman"/>
          <w:sz w:val="22"/>
          <w:szCs w:val="22"/>
        </w:rPr>
        <w:t xml:space="preserve"> umumnya diwujudkan melalui Perjanjian Kerja Sama Operasi (KSO). Pelaksanaan KSO tidak hanya bergantung pada kesepakatan kontraktual para pihak, tetapi juga dipengaruhi oleh kepastian hukum mengenai status lahan, perizinan, dan keberlangsungan operasional pertambangan. Sengketa lahan menjadi salah satu faktor yang sering menghambat pelaksanaan kontrak sehingga berpotensi menimbulkan wanprestasi dan kerugian bagi para pihak (Salim HS, 2021).</w:t>
      </w:r>
    </w:p>
    <w:p w14:paraId="674CE89A"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Beberapa penelitian terdahulu telah mengkaji wanprestasi dalam hukum perjanjian dengan menitikberatkan pada pemenuhan prestasi, akibat hukum wanprestasi, maupun penyelesaian sengketa kontrak (Abdul Latif et al., 2025; Nuraida et al., 2024). Penelitian lain juga menjelaskan bahwa kepastian hukum dalam perjanjian merupakan faktor penting untuk menjamin perlindungan hukum bagi para pihak dalam hubungan kontraktual (Marzuki, 2021). Meskipun demikian, sebagian besar penelitian tersebut masih membahas wanprestasi secara umum dan belum secara khusus mengaitkannya dengan sengketa lahan dalam pelaksanaan Perjanjian Kerja Sama Operasi di bidang pertambangan berdasarkan analisis putusan pengadilan.</w:t>
      </w:r>
    </w:p>
    <w:p w14:paraId="0C843F14"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Keterbatasan penelitian sebelumnya menunjukkan masih perlunya kajian yang secara khusus menganalisis hubungan antara sengketa lahan, pelaksanaan kewajiban kontraktual, serta pertimbangan hukum hakim dalam menentukan adanya wanprestasi pada kerja </w:t>
      </w:r>
      <w:proofErr w:type="gramStart"/>
      <w:r w:rsidRPr="001127C3">
        <w:rPr>
          <w:rFonts w:ascii="Times New Roman" w:eastAsia="Book Antiqua" w:hAnsi="Times New Roman" w:cs="Times New Roman"/>
          <w:sz w:val="22"/>
          <w:szCs w:val="22"/>
        </w:rPr>
        <w:t>sama</w:t>
      </w:r>
      <w:proofErr w:type="gramEnd"/>
      <w:r w:rsidRPr="001127C3">
        <w:rPr>
          <w:rFonts w:ascii="Times New Roman" w:eastAsia="Book Antiqua" w:hAnsi="Times New Roman" w:cs="Times New Roman"/>
          <w:sz w:val="22"/>
          <w:szCs w:val="22"/>
        </w:rPr>
        <w:t xml:space="preserve"> operasi pertambangan. Kajian tersebut penting mengingat karakteristik sektor pertambangan memiliki risiko hukum yang berbeda dengan perjanjian keperdataan pada umumnya, terutama terkait legalitas lahan, perizinan, dan pembagian tanggung jawab para pihak.</w:t>
      </w:r>
    </w:p>
    <w:p w14:paraId="4874A1A8"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Kebaruan penelitian ini terletak pada analisis yuridis terhadap Putusan Pengadilan Negeri Jakarta Utara Nomor 711/Pdt.G/2022/PN.Jkt.Utr dengan menelaah keterkaitan antara sengketa lahan sebagai penyebab wanprestasi, keabsahan Perjanjian Kerja Sama Operasi, pertimbangan hukum hakim, serta akibat hukum yang timbul bagi para pihak. Penelitian ini diharapkan dapat memberikan kontribusi terhadap pengembangan hukum perjanjian, khususnya mengenai penyelesaian sengketa kontrak pada sektor pertambangan serta menjadi referensi bagi praktisi maupun akademisi dalam memahami penerapan hukum perdata terhadap wanprestasi akibat sengketa lahan.</w:t>
      </w:r>
    </w:p>
    <w:p w14:paraId="3D6A7722"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Berdasarkan uraian tersebut, penelitian ini bertujuan untuk menganalisis keabsahan Perjanjian Kerja Sama Operasi berdasarkan ketentuan KUHPerdata, menganalisis pertimbangan hukum hakim </w:t>
      </w:r>
      <w:r w:rsidRPr="001127C3">
        <w:rPr>
          <w:rFonts w:ascii="Times New Roman" w:eastAsia="Book Antiqua" w:hAnsi="Times New Roman" w:cs="Times New Roman"/>
          <w:sz w:val="22"/>
          <w:szCs w:val="22"/>
        </w:rPr>
        <w:lastRenderedPageBreak/>
        <w:t>dalam Putusan Pengadilan Negeri Jakarta Utara Nomor 711/Pdt.G/2022/PN.Jkt.Utr, serta menganalisis akibat hukum wanprestasi yang timbul akibat adanya sengketa lahan dalam pelaksanaan Perjanjian Kerja Sama Operasi pertambangan</w:t>
      </w:r>
    </w:p>
    <w:p w14:paraId="4CFE6F74" w14:textId="77777777" w:rsidR="00E4688B" w:rsidRPr="00E4688B" w:rsidRDefault="00E4688B" w:rsidP="007C14E2">
      <w:pPr>
        <w:pBdr>
          <w:top w:val="nil"/>
          <w:left w:val="nil"/>
          <w:bottom w:val="nil"/>
          <w:right w:val="nil"/>
          <w:between w:val="nil"/>
        </w:pBdr>
        <w:ind w:firstLine="567"/>
        <w:jc w:val="both"/>
        <w:rPr>
          <w:rFonts w:ascii="Times New Roman" w:hAnsi="Times New Roman" w:cs="Times New Roman"/>
          <w:color w:val="000000"/>
          <w:sz w:val="22"/>
          <w:szCs w:val="22"/>
        </w:rPr>
      </w:pPr>
    </w:p>
    <w:p w14:paraId="58069F17" w14:textId="0A55A793" w:rsidR="00E4688B" w:rsidRDefault="00E04502" w:rsidP="00AF5304">
      <w:pPr>
        <w:suppressAutoHyphens/>
        <w:spacing w:line="360" w:lineRule="auto"/>
        <w:jc w:val="both"/>
        <w:textAlignment w:val="top"/>
        <w:outlineLvl w:val="0"/>
        <w:rPr>
          <w:rFonts w:ascii="Times New Roman" w:eastAsia="Times New Roman" w:hAnsi="Times New Roman" w:cs="Times New Roman"/>
          <w:b/>
          <w:kern w:val="0"/>
          <w:position w:val="-1"/>
          <w:sz w:val="22"/>
          <w:szCs w:val="22"/>
          <w:lang w:val="en-US"/>
          <w14:ligatures w14:val="none"/>
        </w:rPr>
      </w:pPr>
      <w:r>
        <w:rPr>
          <w:rFonts w:ascii="Times New Roman" w:eastAsia="Times New Roman" w:hAnsi="Times New Roman" w:cs="Times New Roman"/>
          <w:b/>
          <w:kern w:val="0"/>
          <w:position w:val="-1"/>
          <w:sz w:val="22"/>
          <w:szCs w:val="22"/>
          <w:lang w:val="en-US"/>
          <w14:ligatures w14:val="none"/>
        </w:rPr>
        <w:t>METODE</w:t>
      </w:r>
      <w:r w:rsidR="0053543F">
        <w:rPr>
          <w:rFonts w:ascii="Times New Roman" w:eastAsia="Times New Roman" w:hAnsi="Times New Roman" w:cs="Times New Roman"/>
          <w:b/>
          <w:kern w:val="0"/>
          <w:position w:val="-1"/>
          <w:sz w:val="22"/>
          <w:szCs w:val="22"/>
          <w:lang w:val="en-US"/>
          <w14:ligatures w14:val="none"/>
        </w:rPr>
        <w:t xml:space="preserve"> </w:t>
      </w:r>
    </w:p>
    <w:p w14:paraId="6B42B376" w14:textId="77777777" w:rsidR="001127C3" w:rsidRPr="001127C3" w:rsidRDefault="001127C3" w:rsidP="001127C3">
      <w:pPr>
        <w:pBdr>
          <w:top w:val="nil"/>
          <w:left w:val="nil"/>
          <w:bottom w:val="nil"/>
          <w:right w:val="nil"/>
          <w:between w:val="nil"/>
        </w:pBdr>
        <w:spacing w:line="360" w:lineRule="auto"/>
        <w:jc w:val="both"/>
        <w:rPr>
          <w:rFonts w:ascii="Times New Roman" w:eastAsia="Book Antiqua" w:hAnsi="Times New Roman" w:cs="Times New Roman"/>
          <w:b/>
          <w:i/>
          <w:sz w:val="22"/>
          <w:szCs w:val="22"/>
        </w:rPr>
      </w:pPr>
      <w:r w:rsidRPr="001127C3">
        <w:rPr>
          <w:rFonts w:ascii="Times New Roman" w:eastAsia="Book Antiqua" w:hAnsi="Times New Roman" w:cs="Times New Roman"/>
          <w:b/>
          <w:i/>
          <w:sz w:val="22"/>
          <w:szCs w:val="22"/>
        </w:rPr>
        <w:t>Jenis Penelitian</w:t>
      </w:r>
    </w:p>
    <w:p w14:paraId="78EBAE0D"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Penelitian ini menggunakan metode penelitian hukum normatif (normative legal research), yaitu penelitian yang menitikberatkan pada kajian terhadap norma-norma hukum yang terdapat dalam peraturan perundang-undangan, putusan pengadilan, doktrin, serta literatur hukum yang relevan. Penelitian hukum normatif bertujuan untuk menemukan prinsip-prinsip hukum, asas hukum, dan aturan hukum yang digunakan dalam menjawab isu hukum yang menjadi objek penelitian (Marzuki, 2021).</w:t>
      </w:r>
    </w:p>
    <w:p w14:paraId="0481100D"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Dalam penelitian ini, pendekatan normatif digunakan untuk menganalisis wanprestasi akibat adanya sengketa lahan dalam Perjanjian Kerja Sama Operasi (KSO) pertambangan berdasarkan Putusan Pengadilan Negeri Jakarta Utara Nomor 711/Pdt.G/2022/PN.Jkt.Utr. </w:t>
      </w:r>
    </w:p>
    <w:p w14:paraId="665188C7" w14:textId="77777777" w:rsidR="001127C3" w:rsidRPr="001127C3" w:rsidRDefault="001127C3" w:rsidP="001127C3">
      <w:pPr>
        <w:pBdr>
          <w:top w:val="nil"/>
          <w:left w:val="nil"/>
          <w:bottom w:val="nil"/>
          <w:right w:val="nil"/>
          <w:between w:val="nil"/>
        </w:pBdr>
        <w:spacing w:line="360" w:lineRule="auto"/>
        <w:jc w:val="both"/>
        <w:rPr>
          <w:rFonts w:ascii="Times New Roman" w:eastAsia="Book Antiqua" w:hAnsi="Times New Roman" w:cs="Times New Roman"/>
          <w:b/>
          <w:i/>
          <w:sz w:val="22"/>
          <w:szCs w:val="22"/>
        </w:rPr>
      </w:pPr>
      <w:r w:rsidRPr="001127C3">
        <w:rPr>
          <w:rFonts w:ascii="Times New Roman" w:eastAsia="Book Antiqua" w:hAnsi="Times New Roman" w:cs="Times New Roman"/>
          <w:b/>
          <w:i/>
          <w:sz w:val="22"/>
          <w:szCs w:val="22"/>
        </w:rPr>
        <w:t>Pendekatan Penelitian</w:t>
      </w:r>
    </w:p>
    <w:p w14:paraId="60F93420"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Pendekatan ini dilakukan dengan mengkaji berbagai peraturan perundang-undangan yang berkaitan dengan hukum perjanjian, wanprestasi, serta hukum pertambangan. Peraturan yang menjadi dasar analisis antara lain Kitab Undang-Undang Hukum Perdata, khususnya Pasal 1238, Pasal 1243, Pasal 1266, Pasal 1267, Pasal 1320, dan Pasal 1338, serta Undang-Undang Nomor 3 Tahun 2020 tentang Perubahan atas Undang-Undang Nomor 4 Tahun 2009 tentang Pertambangan Mineral dan Batubara. </w:t>
      </w:r>
    </w:p>
    <w:p w14:paraId="535196CD"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Pendekatan konseptual dilakukan melalui kajian terhadap teori, doktrin, dan asas hukum mengenai hukum perjanjian, wanprestasi, asas pacta sunt servanda, asas itikad baik, serta kepastian hukum yang dikemukakan oleh para ahli hukum (Marzuki, 2021).</w:t>
      </w:r>
    </w:p>
    <w:p w14:paraId="7C1314E1"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Pendekatan kasus dilakukan dengan menganalisis Putusan Pengadilan Negeri Jakarta Utara Nomor 711/Pdt.G/2022/PN.Jkt.Utr sebagai objek utama penelitian. Analisis difokuskan pada pertimbangan hukum hakim dalam menentukan adanya wanprestasi akibat sengketa lahan dalam Perjanjian Kerja Sama Operasi pertambangan. </w:t>
      </w:r>
    </w:p>
    <w:p w14:paraId="0314F6D9" w14:textId="77777777" w:rsidR="001127C3" w:rsidRPr="001127C3" w:rsidRDefault="001127C3" w:rsidP="001127C3">
      <w:pPr>
        <w:pBdr>
          <w:top w:val="nil"/>
          <w:left w:val="nil"/>
          <w:bottom w:val="nil"/>
          <w:right w:val="nil"/>
          <w:between w:val="nil"/>
        </w:pBdr>
        <w:spacing w:line="360" w:lineRule="auto"/>
        <w:jc w:val="both"/>
        <w:rPr>
          <w:rFonts w:ascii="Times New Roman" w:eastAsia="Book Antiqua" w:hAnsi="Times New Roman" w:cs="Times New Roman"/>
          <w:b/>
          <w:i/>
          <w:sz w:val="22"/>
          <w:szCs w:val="22"/>
        </w:rPr>
      </w:pPr>
      <w:r w:rsidRPr="001127C3">
        <w:rPr>
          <w:rFonts w:ascii="Times New Roman" w:eastAsia="Book Antiqua" w:hAnsi="Times New Roman" w:cs="Times New Roman"/>
          <w:b/>
          <w:i/>
          <w:sz w:val="22"/>
          <w:szCs w:val="22"/>
        </w:rPr>
        <w:t>Sumber Bahan Hukum</w:t>
      </w:r>
    </w:p>
    <w:p w14:paraId="564EA717"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Bahan Hukum Primer terdiri dari (1) Kitab Undang-Undang Hukum Perdata (KUHPerdata); (2) Undang-Undang Nomor 3 Tahun 2020 tentang Perubahan atas Undang-Undang Nomor 4 Tahun 2009 tentang Pertambangan Mineral dan Batubara; (3)Putusan Pengadilan Negeri Jakarta Utara Nomor 711/Pdt.G/2022/PN.Jkt.Utr sebagai objek penelitian. </w:t>
      </w:r>
    </w:p>
    <w:p w14:paraId="226D0968"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Bahan hukum sekunder terdiri atas buku-buku ilmiah, jurnal hukum, hasil penelitian, artikel ilmiah, serta pendapat para ahli yang berkaitan dengan hukum perjanjian, wanprestasi, hukum pertambangan, dan penyelesaian sengketa kontrak (Soekanto &amp; Mamudji, 2019).</w:t>
      </w:r>
    </w:p>
    <w:p w14:paraId="4C0EA26A"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Bahan hukum tersier berupa Kamus Besar Bahasa Indonesia (KBBI), kamus hukum, ensiklopedia hukum, serta sumber referensi lain yang mendukung analisis penelitian. </w:t>
      </w:r>
    </w:p>
    <w:p w14:paraId="687988DC" w14:textId="77777777" w:rsidR="001127C3" w:rsidRPr="001127C3" w:rsidRDefault="001127C3" w:rsidP="001127C3">
      <w:pPr>
        <w:pBdr>
          <w:top w:val="nil"/>
          <w:left w:val="nil"/>
          <w:bottom w:val="nil"/>
          <w:right w:val="nil"/>
          <w:between w:val="nil"/>
        </w:pBdr>
        <w:spacing w:line="360" w:lineRule="auto"/>
        <w:jc w:val="both"/>
        <w:rPr>
          <w:rFonts w:ascii="Times New Roman" w:eastAsia="Book Antiqua" w:hAnsi="Times New Roman" w:cs="Times New Roman"/>
          <w:b/>
          <w:i/>
          <w:sz w:val="22"/>
          <w:szCs w:val="22"/>
        </w:rPr>
      </w:pPr>
      <w:r w:rsidRPr="001127C3">
        <w:rPr>
          <w:rFonts w:ascii="Times New Roman" w:eastAsia="Book Antiqua" w:hAnsi="Times New Roman" w:cs="Times New Roman"/>
          <w:b/>
          <w:i/>
          <w:sz w:val="22"/>
          <w:szCs w:val="22"/>
        </w:rPr>
        <w:lastRenderedPageBreak/>
        <w:t>Teknik Pengumpulan Bahan Hukum</w:t>
      </w:r>
    </w:p>
    <w:p w14:paraId="19843D49"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Teknik pengumpulan bahan hukum dilakukan melalui studi kepustakaan (library research), yaitu dengan mengidentifikasi, mengumpulkan, mempelajari, dan mengkaji berbagai bahan hukum primer, sekunder, dan tersier yang berkaitan dengan objek penelitian. Selain itu, peneliti melakukan telaah secara mendalam terhadap Putusan Pengadilan Negeri Jakarta Utara Nomor 711/Pdt.G/2022/PN.Jkt.Utr sebagai bahan utama dalam analisis hukum (Zainuddin Ali, 2021). </w:t>
      </w:r>
    </w:p>
    <w:p w14:paraId="012FD970" w14:textId="77777777" w:rsidR="001127C3" w:rsidRPr="001127C3" w:rsidRDefault="001127C3" w:rsidP="001127C3">
      <w:pPr>
        <w:pBdr>
          <w:top w:val="nil"/>
          <w:left w:val="nil"/>
          <w:bottom w:val="nil"/>
          <w:right w:val="nil"/>
          <w:between w:val="nil"/>
        </w:pBdr>
        <w:spacing w:line="360" w:lineRule="auto"/>
        <w:jc w:val="both"/>
        <w:rPr>
          <w:rFonts w:ascii="Times New Roman" w:eastAsia="Book Antiqua" w:hAnsi="Times New Roman" w:cs="Times New Roman"/>
          <w:b/>
          <w:i/>
          <w:sz w:val="22"/>
          <w:szCs w:val="22"/>
        </w:rPr>
      </w:pPr>
      <w:r w:rsidRPr="001127C3">
        <w:rPr>
          <w:rFonts w:ascii="Times New Roman" w:eastAsia="Book Antiqua" w:hAnsi="Times New Roman" w:cs="Times New Roman"/>
          <w:b/>
          <w:i/>
          <w:sz w:val="22"/>
          <w:szCs w:val="22"/>
        </w:rPr>
        <w:t>Teknik Analisis Bahan Hukum</w:t>
      </w:r>
    </w:p>
    <w:p w14:paraId="23B54ED8" w14:textId="77777777" w:rsidR="001127C3" w:rsidRPr="001127C3" w:rsidRDefault="001127C3" w:rsidP="001127C3">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1127C3">
        <w:rPr>
          <w:rFonts w:ascii="Times New Roman" w:eastAsia="Book Antiqua" w:hAnsi="Times New Roman" w:cs="Times New Roman"/>
          <w:sz w:val="22"/>
          <w:szCs w:val="22"/>
        </w:rPr>
        <w:t xml:space="preserve">Analisis bahan hukum dilakukan secara kualitatif dengan menggunakan metode deskriptif-analitis. Seluruh bahan hukum dianalisis secara sistematis berdasarkan asas hukum, teori hukum, ketentuan peraturan perundang-undangan, doktrin, dan putusan pengadilan yang relevan. Selanjutnya, penarikan kesimpulan dilakukan menggunakan metode deduktif, yaitu menarik kesimpulan dari ketentuan hukum yang bersifat umum menuju permasalahan khusus mengenai wanprestasi akibat sengketa lahan dalam Perjanjian Kerja Sama Operasi pertambangan (Marzuki, 2021). </w:t>
      </w:r>
    </w:p>
    <w:p w14:paraId="0981273F" w14:textId="77777777" w:rsidR="00413FA4" w:rsidRDefault="00413FA4" w:rsidP="0086369D">
      <w:pPr>
        <w:suppressAutoHyphens/>
        <w:jc w:val="both"/>
        <w:textAlignment w:val="top"/>
        <w:outlineLvl w:val="0"/>
        <w:rPr>
          <w:rFonts w:ascii="Times New Roman" w:eastAsia="Times New Roman" w:hAnsi="Times New Roman" w:cs="Times New Roman"/>
          <w:b/>
          <w:kern w:val="0"/>
          <w:position w:val="-1"/>
          <w:sz w:val="22"/>
          <w:szCs w:val="22"/>
          <w:lang w:val="en-US"/>
          <w14:ligatures w14:val="none"/>
        </w:rPr>
      </w:pPr>
    </w:p>
    <w:p w14:paraId="03C67CE4" w14:textId="7283C7E7" w:rsidR="00E13C7C" w:rsidRPr="00AF5304" w:rsidRDefault="00E04502" w:rsidP="00AF5304">
      <w:pPr>
        <w:suppressAutoHyphens/>
        <w:spacing w:line="360" w:lineRule="auto"/>
        <w:jc w:val="both"/>
        <w:textAlignment w:val="top"/>
        <w:outlineLvl w:val="0"/>
        <w:rPr>
          <w:rFonts w:ascii="Times New Roman" w:eastAsia="Times New Roman" w:hAnsi="Times New Roman" w:cs="Times New Roman"/>
          <w:b/>
          <w:kern w:val="0"/>
          <w:position w:val="-1"/>
          <w:sz w:val="22"/>
          <w:szCs w:val="22"/>
          <w:lang w:val="en-US"/>
          <w14:ligatures w14:val="none"/>
        </w:rPr>
      </w:pPr>
      <w:r>
        <w:rPr>
          <w:rFonts w:ascii="Times New Roman" w:eastAsia="Times New Roman" w:hAnsi="Times New Roman" w:cs="Times New Roman"/>
          <w:b/>
          <w:kern w:val="0"/>
          <w:position w:val="-1"/>
          <w:sz w:val="22"/>
          <w:szCs w:val="22"/>
          <w:lang w:val="en-US"/>
          <w14:ligatures w14:val="none"/>
        </w:rPr>
        <w:t>HASIL DAN DISKUSI</w:t>
      </w:r>
    </w:p>
    <w:p w14:paraId="45276543" w14:textId="77777777" w:rsidR="00BC24CF" w:rsidRPr="00BC24CF" w:rsidRDefault="00BC24CF" w:rsidP="00BC24CF">
      <w:pPr>
        <w:pBdr>
          <w:top w:val="nil"/>
          <w:left w:val="nil"/>
          <w:bottom w:val="nil"/>
          <w:right w:val="nil"/>
          <w:between w:val="nil"/>
        </w:pBdr>
        <w:spacing w:line="360" w:lineRule="auto"/>
        <w:jc w:val="both"/>
        <w:rPr>
          <w:rFonts w:ascii="Times New Roman" w:eastAsia="Times New Roman" w:hAnsi="Times New Roman" w:cs="Times New Roman"/>
          <w:b/>
          <w:bCs/>
          <w:i/>
          <w:color w:val="000000"/>
          <w:lang w:val="nl-NL"/>
        </w:rPr>
      </w:pPr>
      <w:bookmarkStart w:id="1" w:name="_Toc235306855"/>
      <w:r w:rsidRPr="00BC24CF">
        <w:rPr>
          <w:rFonts w:ascii="Times New Roman" w:eastAsia="Book Antiqua" w:hAnsi="Times New Roman" w:cs="Times New Roman"/>
          <w:b/>
          <w:i/>
          <w:sz w:val="22"/>
          <w:szCs w:val="22"/>
        </w:rPr>
        <w:t>Kronologi Perkara Nomor 711/Pdt.G/2022/PN.Jkt.Utr</w:t>
      </w:r>
      <w:bookmarkEnd w:id="1"/>
      <w:r w:rsidRPr="00BC24CF">
        <w:rPr>
          <w:rFonts w:ascii="Times New Roman" w:eastAsia="Book Antiqua" w:hAnsi="Times New Roman" w:cs="Times New Roman"/>
          <w:b/>
          <w:i/>
          <w:sz w:val="22"/>
          <w:szCs w:val="22"/>
        </w:rPr>
        <w:t xml:space="preserve"> </w:t>
      </w:r>
    </w:p>
    <w:p w14:paraId="136485F9"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Perkara Nomor 711/Pdt.G/2022/PN.Jkt.Utr merupakan sengketa perdata yang timbul akibat pelaksanaan Perjanjian Kerja Sama Operasi (KSO) Produksi Bijih Nikel antara PT Fortino Artha Sejahtera sebagai Penggugat dengan PT Aneka Nusantara Internasional sebagai Tergugat. Hubungan hukum para pihak lahir berdasarkan Akta Perjanjian Kerja Sama Operasi Produksi Bijih Nikel Nomor 06 tanggal 22 Agustus 2019 yang kemudian diperbarui melalui Addendum Nomor 31 tanggal 15 September 2021. Perjanjian tersebut dibuat sebagai dasar kerja sama dalam pelaksanaan kegiatan operasi produksi pertambangan bijih nikel pada wilayah Izin Usaha Pertambangan (IUP) Operasi Produksi milik Tergugat.</w:t>
      </w:r>
    </w:p>
    <w:p w14:paraId="127451A4"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2" w:name="_Toc235306856"/>
      <w:r w:rsidRPr="00BC24CF">
        <w:rPr>
          <w:rFonts w:ascii="Times New Roman" w:eastAsia="Book Antiqua" w:hAnsi="Times New Roman" w:cs="Times New Roman"/>
          <w:b/>
          <w:i/>
          <w:sz w:val="22"/>
          <w:szCs w:val="22"/>
        </w:rPr>
        <w:t>Identitas Para Pihak</w:t>
      </w:r>
      <w:bookmarkEnd w:id="2"/>
      <w:r w:rsidRPr="00BC24CF">
        <w:rPr>
          <w:rFonts w:ascii="Times New Roman" w:eastAsia="Book Antiqua" w:hAnsi="Times New Roman" w:cs="Times New Roman"/>
          <w:b/>
          <w:i/>
          <w:sz w:val="22"/>
          <w:szCs w:val="22"/>
        </w:rPr>
        <w:t xml:space="preserve"> </w:t>
      </w:r>
    </w:p>
    <w:p w14:paraId="136CAC30"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 xml:space="preserve">Penggugat dalam perkara ini adalah PT Fortino Artha Sejahtera, suatu badan hukum yang bergerak di bidang pertambangan dan menjadi mitra kerja sama dalam pelaksanaan kegiatan operasi produksi bijih nikel. Sementara itu, Tergugat adalah PT Aneka Nusantara Internasional, perusahaan yang memiliki Izin Usaha Pertambangan Operasi Produksi (IUP-OP) sekaligus pihak yang memberikan hak kepada Penggugat untuk melaksanakan kegiatan operasional pertambangan berdasarkan Perjanjian Kerja Sama Operasi. </w:t>
      </w:r>
    </w:p>
    <w:p w14:paraId="4B167C56"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3" w:name="_Toc235306857"/>
      <w:r w:rsidRPr="00BC24CF">
        <w:rPr>
          <w:rFonts w:ascii="Times New Roman" w:eastAsia="Book Antiqua" w:hAnsi="Times New Roman" w:cs="Times New Roman"/>
          <w:b/>
          <w:i/>
          <w:sz w:val="22"/>
          <w:szCs w:val="22"/>
        </w:rPr>
        <w:t>Latar Belakang Perjanjian Kerja Sama Operasi (KSO)</w:t>
      </w:r>
      <w:bookmarkEnd w:id="3"/>
      <w:r w:rsidRPr="00BC24CF">
        <w:rPr>
          <w:rFonts w:ascii="Times New Roman" w:eastAsia="Book Antiqua" w:hAnsi="Times New Roman" w:cs="Times New Roman"/>
          <w:b/>
          <w:i/>
          <w:sz w:val="22"/>
          <w:szCs w:val="22"/>
        </w:rPr>
        <w:t xml:space="preserve"> </w:t>
      </w:r>
    </w:p>
    <w:p w14:paraId="38ACD359" w14:textId="77777777" w:rsidR="00BC24CF" w:rsidRPr="00B4137B" w:rsidRDefault="00BC24CF" w:rsidP="00BC24CF">
      <w:pPr>
        <w:pBdr>
          <w:top w:val="nil"/>
          <w:left w:val="nil"/>
          <w:bottom w:val="nil"/>
          <w:right w:val="nil"/>
          <w:between w:val="nil"/>
        </w:pBdr>
        <w:spacing w:line="360" w:lineRule="auto"/>
        <w:ind w:firstLine="567"/>
        <w:jc w:val="both"/>
        <w:rPr>
          <w:rFonts w:ascii="Times New Roman" w:eastAsia="Times New Roman" w:hAnsi="Times New Roman" w:cs="Times New Roman"/>
          <w:color w:val="000000"/>
          <w:lang w:val="nl-NL"/>
        </w:rPr>
      </w:pPr>
      <w:r w:rsidRPr="00BC24CF">
        <w:rPr>
          <w:rFonts w:ascii="Times New Roman" w:eastAsia="Book Antiqua" w:hAnsi="Times New Roman" w:cs="Times New Roman"/>
          <w:sz w:val="22"/>
          <w:szCs w:val="22"/>
        </w:rPr>
        <w:t xml:space="preserve">Kerja sama tersebut dibuat dengan tujuan mengoptimalkan kegiatan produksi bijih nikel melalui pembagian tugas, tanggung jawab, dan keuntungan sesuai kesepakatan para pihak. Dalam perjanjian tersebut, Tergugat berkedudukan sebagai pemegang IUP Operasi Produksi, sedangkan Penggugat bertanggung jawab melaksanakan kegiatan operasional pertambangan sesuai ruang lingkup yang telah disepakati. Perjanjian tersebut mengikat para pihak sebagaimana ketentuan Pasal 1338 ayat (1) Kitab </w:t>
      </w:r>
      <w:r w:rsidRPr="00BC24CF">
        <w:rPr>
          <w:rFonts w:ascii="Times New Roman" w:eastAsia="Book Antiqua" w:hAnsi="Times New Roman" w:cs="Times New Roman"/>
          <w:sz w:val="22"/>
          <w:szCs w:val="22"/>
        </w:rPr>
        <w:lastRenderedPageBreak/>
        <w:t>Undang-Undang Hukum Perdata yang menyatakan bahwa setiap perjanjian yang dibuat secara sah berlaku sebagai undang-undang bagi para pihak.</w:t>
      </w:r>
    </w:p>
    <w:p w14:paraId="5934CA95"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4" w:name="_Toc235306858"/>
      <w:r w:rsidRPr="00BC24CF">
        <w:rPr>
          <w:rFonts w:ascii="Times New Roman" w:eastAsia="Book Antiqua" w:hAnsi="Times New Roman" w:cs="Times New Roman"/>
          <w:b/>
          <w:i/>
          <w:sz w:val="22"/>
          <w:szCs w:val="22"/>
        </w:rPr>
        <w:t>Hak dan Kewajiban Para Pihak</w:t>
      </w:r>
      <w:bookmarkEnd w:id="4"/>
    </w:p>
    <w:p w14:paraId="594C9A62"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Berdasarkan isi Perjanjian Kerja Sama Operasi, Tergugat berkewajiban menjamin tersedianya lokasi pertambangan yang bebas dari sengketa, menyelesaikan pembebasan lahan yang diperlukan, memenuhi aspek perizinan yang berkaitan dengan kegiatan pertambangan, serta memberikan jaminan agar kegiatan operasional dapat berjalan dengan aman dan lancar. Sebaliknya, Penggugat berkewajiban melaksanakan kegiatan produksi, menyediakan peralatan, tenaga kerja, serta memenuhi kewajiban operasional sesuai dengan isi perjanjian. Di sisi lain, kedua belah pihak memiliki hak untuk memperoleh manfaat ekonomi dari hasil kerja sama sesuai pembagian yang telah disepakati.</w:t>
      </w:r>
    </w:p>
    <w:p w14:paraId="6ACB7CC9"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5" w:name="_Toc235306859"/>
      <w:r w:rsidRPr="00BC24CF">
        <w:rPr>
          <w:rFonts w:ascii="Times New Roman" w:eastAsia="Book Antiqua" w:hAnsi="Times New Roman" w:cs="Times New Roman"/>
          <w:b/>
          <w:i/>
          <w:sz w:val="22"/>
          <w:szCs w:val="22"/>
        </w:rPr>
        <w:t>Awal Terjadinya Sengketa Lahan</w:t>
      </w:r>
      <w:bookmarkEnd w:id="5"/>
    </w:p>
    <w:p w14:paraId="1B7F2D66"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Dalam pelaksanaan kerja sama, muncul berbagai hambatan berupa klaim kepemilikan lahan oleh pihak ketiga, pemalangan akses menuju lokasi pertambangan, serta belum selesainya proses pembebasan lahan. Kondisi tersebut mengakibatkan kegiatan produksi tidak dapat berjalan sebagaimana direncanakan. Menurut Penggugat, hambatan tersebut merupakan tanggung jawab Tergugat karena berdasarkan isi perjanjian Tergugat berkewajiban menjamin bahwa lokasi pertambangan bebas dari sengketa serta siap digunakan untuk kegiatan operasi produksi.</w:t>
      </w:r>
    </w:p>
    <w:p w14:paraId="78FD57A0"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6" w:name="_Toc235306860"/>
      <w:r w:rsidRPr="00BC24CF">
        <w:rPr>
          <w:rFonts w:ascii="Times New Roman" w:eastAsia="Book Antiqua" w:hAnsi="Times New Roman" w:cs="Times New Roman"/>
          <w:b/>
          <w:i/>
          <w:sz w:val="22"/>
          <w:szCs w:val="22"/>
        </w:rPr>
        <w:t>Bentuk Wanprestasi yang Didalilkan</w:t>
      </w:r>
      <w:bookmarkEnd w:id="6"/>
    </w:p>
    <w:p w14:paraId="2A179075"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Penggugat mendalilkan bahwa Tergugat telah melakukan wanprestasi karena tidak memenuhi kewajiban kontraktual sebagaimana diperjanjikan. Bentuk wanprestasi tersebut antara lain tidak mampu menyediakan lahan yang bebas dari sengketa, tidak menyelesaikan pembebasan lahan sesuai waktu yang disepakati, tidak memberikan jaminan kelancaran kegiatan operasional, serta tidak memenuhi kewajiban lain yang menjadi tanggung jawabnya berdasarkan Perjanjian Kerja Sama Operasi. Akibatnya, kegiatan produksi mengalami hambatan sehingga menimbulkan kerugian bagi Penggugat.</w:t>
      </w:r>
    </w:p>
    <w:p w14:paraId="650DB1BE"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7" w:name="_Toc235306861"/>
      <w:r w:rsidRPr="00BC24CF">
        <w:rPr>
          <w:rFonts w:ascii="Times New Roman" w:eastAsia="Book Antiqua" w:hAnsi="Times New Roman" w:cs="Times New Roman"/>
          <w:b/>
          <w:i/>
          <w:sz w:val="22"/>
          <w:szCs w:val="22"/>
        </w:rPr>
        <w:t>Gugatan Penggugat</w:t>
      </w:r>
      <w:bookmarkEnd w:id="7"/>
    </w:p>
    <w:p w14:paraId="5968ACAD"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Karena berbagai upaya penyelesaian secara musyawarah tidak menghasilkan kesepakatan, Penggugat mengajukan gugatan wanprestasi ke Pengadilan Negeri Jakarta Utara. Dalam gugatannya, Penggugat memohon agar Majelis Hakim menyatakan Tergugat telah melakukan wanprestasi, menghukum Tergugat untuk memenuhi kewajiban sebagaimana diperjanjikan, serta membayar ganti kerugian materiil dan immateriil yang timbul akibat tidak terlaksananya Perjanjian Kerja Sama Operasi.</w:t>
      </w:r>
    </w:p>
    <w:p w14:paraId="1FB53CD8"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8" w:name="_Toc235306862"/>
      <w:r w:rsidRPr="00BC24CF">
        <w:rPr>
          <w:rFonts w:ascii="Times New Roman" w:eastAsia="Book Antiqua" w:hAnsi="Times New Roman" w:cs="Times New Roman"/>
          <w:b/>
          <w:i/>
          <w:sz w:val="22"/>
          <w:szCs w:val="22"/>
        </w:rPr>
        <w:t>Jawaban Tergugat</w:t>
      </w:r>
      <w:bookmarkEnd w:id="8"/>
    </w:p>
    <w:p w14:paraId="06EBF5B3"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Dalam jawabannya, Tergugat menolak dalil-dalil yang diajukan Penggugat. Tergugat berpendapat bahwa pelaksanaan kegiatan pertambangan dipengaruhi oleh berbagai faktor di luar kendali perusahaan, termasuk adanya klaim dari pihak ketiga terhadap sebagian lahan pertambangan. Oleh karena itu, Tergugat berpendapat bahwa tidak seluruh hambatan operasional dapat dibebankan sebagai bentuk wanprestasi.</w:t>
      </w:r>
    </w:p>
    <w:p w14:paraId="34D5128B" w14:textId="77777777" w:rsid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9" w:name="_Toc235306863"/>
    </w:p>
    <w:p w14:paraId="253D9597"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r w:rsidRPr="00BC24CF">
        <w:rPr>
          <w:rFonts w:ascii="Times New Roman" w:eastAsia="Book Antiqua" w:hAnsi="Times New Roman" w:cs="Times New Roman"/>
          <w:b/>
          <w:i/>
          <w:sz w:val="22"/>
          <w:szCs w:val="22"/>
        </w:rPr>
        <w:lastRenderedPageBreak/>
        <w:t>Replik dan Duplik</w:t>
      </w:r>
      <w:bookmarkEnd w:id="9"/>
    </w:p>
    <w:p w14:paraId="46A09939"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Setelah menerima jawaban Tergugat, Penggugat mengajukan replik yang pada pokoknya tetap mempertahankan seluruh dalil gugatan serta menolak alasan-alasan yang dikemukakan oleh Tergugat. Selanjutnya, Tergugat mengajukan duplik yang tetap mempertahankan jawabannya dan meminta agar gugatan Penggugat ditolak seluruhnya.</w:t>
      </w:r>
    </w:p>
    <w:p w14:paraId="1A22F19B"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10" w:name="_Toc235306864"/>
      <w:r w:rsidRPr="00BC24CF">
        <w:rPr>
          <w:rFonts w:ascii="Times New Roman" w:eastAsia="Book Antiqua" w:hAnsi="Times New Roman" w:cs="Times New Roman"/>
          <w:b/>
          <w:i/>
          <w:sz w:val="22"/>
          <w:szCs w:val="22"/>
        </w:rPr>
        <w:t>Alat Bukti yang Diajukan</w:t>
      </w:r>
      <w:bookmarkEnd w:id="10"/>
    </w:p>
    <w:p w14:paraId="499B8F3D"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Dalam persidangan, kedua belah pihak mengajukan berbagai alat bukti berupa bukti surat, Akta Perjanjian Kerja Sama Operasi beserta addendumnya, dokumen perizinan pertambangan, surat-menyurat antara para pihak, serta menghadirkan saksi-saksi yang dianggap mengetahui pelaksanaan kerja sama. Seluruh alat bukti tersebut menjadi dasar bagi Majelis Hakim dalam menilai apakah benar telah terjadi wanprestasi sebagaimana didalilkan oleh Penggugat.</w:t>
      </w:r>
    </w:p>
    <w:p w14:paraId="6FD2FF62" w14:textId="77777777" w:rsidR="00BC24CF" w:rsidRPr="00BC24CF" w:rsidRDefault="00BC24CF" w:rsidP="00BC24CF">
      <w:pPr>
        <w:pBdr>
          <w:top w:val="nil"/>
          <w:left w:val="nil"/>
          <w:bottom w:val="nil"/>
          <w:right w:val="nil"/>
          <w:between w:val="nil"/>
        </w:pBdr>
        <w:spacing w:line="360" w:lineRule="auto"/>
        <w:jc w:val="both"/>
        <w:rPr>
          <w:rFonts w:ascii="Times New Roman" w:eastAsia="Book Antiqua" w:hAnsi="Times New Roman" w:cs="Times New Roman"/>
          <w:b/>
          <w:i/>
          <w:sz w:val="22"/>
          <w:szCs w:val="22"/>
        </w:rPr>
      </w:pPr>
      <w:bookmarkStart w:id="11" w:name="_Toc235306865"/>
      <w:r w:rsidRPr="00BC24CF">
        <w:rPr>
          <w:rFonts w:ascii="Times New Roman" w:eastAsia="Book Antiqua" w:hAnsi="Times New Roman" w:cs="Times New Roman"/>
          <w:b/>
          <w:i/>
          <w:sz w:val="22"/>
          <w:szCs w:val="22"/>
        </w:rPr>
        <w:t>Amar Putusan Pengadilan</w:t>
      </w:r>
      <w:bookmarkEnd w:id="11"/>
    </w:p>
    <w:p w14:paraId="0C9C45D8"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Setelah memeriksa seluruh alat bukti, mendengarkan keterangan para pihak dan saksi-saksi, serta mempertimbangkan ketentuan hukum yang berlaku, Majelis Hakim Pengadilan Negeri Jakarta Utara menjatuhkan putusan dalam perkara Nomor 711/Pdt.G/2022/PN.Jkt.Utr. Amar putusan tersebut menjadi dasar dalam menentukan ada atau tidaknya wanprestasi, tanggung jawab hukum para pihak, serta akibat hukum yang timbul dari pelaksanaan Perjanjian Kerja Sama Operasi.</w:t>
      </w:r>
    </w:p>
    <w:p w14:paraId="62303107"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i/>
          <w:sz w:val="22"/>
          <w:szCs w:val="22"/>
        </w:rPr>
      </w:pPr>
      <w:bookmarkStart w:id="12" w:name="_Toc235306866"/>
      <w:r w:rsidRPr="00BC24CF">
        <w:rPr>
          <w:rFonts w:ascii="Times New Roman" w:eastAsia="Book Antiqua" w:hAnsi="Times New Roman" w:cs="Times New Roman"/>
          <w:b/>
          <w:i/>
          <w:sz w:val="22"/>
          <w:szCs w:val="22"/>
        </w:rPr>
        <w:t>Analisis Yuridis Terhadap Wanprestasi Akibat Sengketa Lahan dalam Perjanjian Kerja Sama Operasi Pertambangan</w:t>
      </w:r>
      <w:bookmarkEnd w:id="12"/>
    </w:p>
    <w:p w14:paraId="6DD5D745"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bookmarkStart w:id="13" w:name="_Toc235306867"/>
      <w:r w:rsidRPr="00BC24CF">
        <w:rPr>
          <w:rFonts w:ascii="Times New Roman" w:eastAsia="Book Antiqua" w:hAnsi="Times New Roman" w:cs="Times New Roman"/>
          <w:b/>
          <w:sz w:val="22"/>
          <w:szCs w:val="22"/>
        </w:rPr>
        <w:t>Keabsahan Perjanjian Kerja Sama Operasi (KSO)</w:t>
      </w:r>
      <w:bookmarkEnd w:id="13"/>
    </w:p>
    <w:p w14:paraId="269006EE"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bookmarkStart w:id="14" w:name="_Toc235306868"/>
      <w:r w:rsidRPr="00CB41EB">
        <w:rPr>
          <w:rFonts w:ascii="Times New Roman" w:eastAsia="Book Antiqua" w:hAnsi="Times New Roman" w:cs="Times New Roman"/>
          <w:sz w:val="22"/>
          <w:szCs w:val="22"/>
        </w:rPr>
        <w:t>Perjanjian Kerja Sama Operasi (KSO) merupakan hubungan hukum berdasarkan kesepakatan para pihak untuk menjalankan kegiatan usaha dan memperoleh keuntungan bersama. Dalam Perkara Nomor 711/Pdt.G/2022/PN.Jkt.Utr, hubungan Penggugat dan Tergugat didasarkan pada Perjanjian KSO Produksi Bijih Nikel yang dibuat dalam akta notaris dan diperkuat dengan addendum, sehingga sejak ditandatangani menimbulkan hak dan kewajiban yang mengikat.</w:t>
      </w:r>
    </w:p>
    <w:p w14:paraId="7E66A449"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Keabsahan perjanjian diatur dalam Pasal 1320 KUHPerdata, meliputi kesepakatan, kecakapan, objek tertentu, dan sebab yang halal. Dua syarat pertama merupakan syarat subjektif, sedangkan dua lainnya merupakan syarat objektif. Tidak terpenuhinya syarat subjektif menyebabkan perjanjian dapat dibatalkan, sedangkan tidak terpenuhinya syarat objektif mengakibatkan perjanjian batal demi hukum.</w:t>
      </w:r>
    </w:p>
    <w:p w14:paraId="42B97DD4"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Berdasarkan Putusan Nomor 711/Pdt.G/2022/PN.Jkt.Utr, perjanjian Penggugat dan Tergugat telah memenuhi keempat syarat tersebut. Kesepakatan dibuktikan melalui penandatanganan perjanjian dan addendum tanpa paksaan, kekhilafan, atau penipuan. Para pihak juga merupakan badan hukum yang cakap melakukan perbuatan hukum. Objek perjanjian jelas berupa kegiatan operasi produksi bijih nikel pada wilayah izin usaha pertambangan Tergugat, sedangkan tujuannya tidak bertentangan dengan hukum, kesusilaan, maupun ketertiban umum.</w:t>
      </w:r>
    </w:p>
    <w:p w14:paraId="611D0ADA"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Berdasarkan Pasal 1338 ayat (1) KUHPerdata, perjanjian yang dibuat secara sah berlaku sebagai undang-undang bagi para pihak. Ketentuan ini mencerminkan asas kebebasan berkontrak dan </w:t>
      </w:r>
      <w:r w:rsidRPr="00CB41EB">
        <w:rPr>
          <w:rFonts w:ascii="Times New Roman" w:eastAsia="Book Antiqua" w:hAnsi="Times New Roman" w:cs="Times New Roman"/>
          <w:i/>
          <w:iCs/>
          <w:sz w:val="22"/>
          <w:szCs w:val="22"/>
        </w:rPr>
        <w:t xml:space="preserve">pacta </w:t>
      </w:r>
      <w:r w:rsidRPr="00CB41EB">
        <w:rPr>
          <w:rFonts w:ascii="Times New Roman" w:eastAsia="Book Antiqua" w:hAnsi="Times New Roman" w:cs="Times New Roman"/>
          <w:i/>
          <w:iCs/>
          <w:sz w:val="22"/>
          <w:szCs w:val="22"/>
        </w:rPr>
        <w:lastRenderedPageBreak/>
        <w:t>sunt servanda</w:t>
      </w:r>
      <w:r w:rsidRPr="00CB41EB">
        <w:rPr>
          <w:rFonts w:ascii="Times New Roman" w:eastAsia="Book Antiqua" w:hAnsi="Times New Roman" w:cs="Times New Roman"/>
          <w:sz w:val="22"/>
          <w:szCs w:val="22"/>
        </w:rPr>
        <w:t xml:space="preserve">, yang mengharuskan para pihak mematuhi dan melaksanakan seluruh hak serta kewajiban yang disepakati. Dalam perkara ini, Tergugat berkewajiban menyediakan wilayah pertambangan dan menjamin kelancaran kerja </w:t>
      </w:r>
      <w:proofErr w:type="gramStart"/>
      <w:r w:rsidRPr="00CB41EB">
        <w:rPr>
          <w:rFonts w:ascii="Times New Roman" w:eastAsia="Book Antiqua" w:hAnsi="Times New Roman" w:cs="Times New Roman"/>
          <w:sz w:val="22"/>
          <w:szCs w:val="22"/>
        </w:rPr>
        <w:t>sama</w:t>
      </w:r>
      <w:proofErr w:type="gramEnd"/>
      <w:r w:rsidRPr="00CB41EB">
        <w:rPr>
          <w:rFonts w:ascii="Times New Roman" w:eastAsia="Book Antiqua" w:hAnsi="Times New Roman" w:cs="Times New Roman"/>
          <w:sz w:val="22"/>
          <w:szCs w:val="22"/>
        </w:rPr>
        <w:t>, sedangkan Penggugat wajib melaksanakan kegiatan operasional sesuai kesepakatan. Pelanggaran terhadap kewajiban tersebut dapat menimbulkan wanprestasi.</w:t>
      </w:r>
    </w:p>
    <w:p w14:paraId="3236290F"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Selain itu, Pasal 1338 ayat (3) KUHPerdata mengharuskan perjanjian dilaksanakan dengan itikad baik, yaitu secara jujur, terbuka, dan menghormati kepentingan masing-masing pihak. Sengketa lahan dalam perkara ini menghambat pelaksanaan KSO karena Penggugat menilai Tergugat tidak menyediakan lahan yang bebas sengketa. Jika kewajiban tersebut telah diperjanjikan, kondisi tersebut dapat dikualifikasikan sebagai wanprestasi.</w:t>
      </w:r>
    </w:p>
    <w:p w14:paraId="62D1F273"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Menurut analisis penulis, KSO tersebut sah berdasarkan Pasal 1320 KUHPerdata dan mengikat berdasarkan Pasal 1338 KUHPerdata. Sengketa lahan tidak serta-merta menghapus kewajiban kontraktual, tetapi perlu dinilai apakah merupakan risiko yang telah diperjanjikan, </w:t>
      </w:r>
      <w:r w:rsidRPr="00CB41EB">
        <w:rPr>
          <w:rFonts w:ascii="Times New Roman" w:eastAsia="Book Antiqua" w:hAnsi="Times New Roman" w:cs="Times New Roman"/>
          <w:i/>
          <w:iCs/>
          <w:sz w:val="22"/>
          <w:szCs w:val="22"/>
        </w:rPr>
        <w:t>force majeure</w:t>
      </w:r>
      <w:r w:rsidRPr="00CB41EB">
        <w:rPr>
          <w:rFonts w:ascii="Times New Roman" w:eastAsia="Book Antiqua" w:hAnsi="Times New Roman" w:cs="Times New Roman"/>
          <w:sz w:val="22"/>
          <w:szCs w:val="22"/>
        </w:rPr>
        <w:t>, atau kelalaian salah satu pihak. Dengan demikian, penentuan wanprestasi harus didasarkan pada isi perjanjian, alat bukti persidangan, dan pertimbangan hukum Majelis Hakim dalam Putusan Nomor 711/Pdt.G/2022/PN.Jkt.Utr.</w:t>
      </w:r>
    </w:p>
    <w:p w14:paraId="443333A4"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i/>
          <w:sz w:val="22"/>
          <w:szCs w:val="22"/>
        </w:rPr>
      </w:pPr>
      <w:r w:rsidRPr="00BC24CF">
        <w:rPr>
          <w:rFonts w:ascii="Times New Roman" w:eastAsia="Book Antiqua" w:hAnsi="Times New Roman" w:cs="Times New Roman"/>
          <w:b/>
          <w:i/>
          <w:sz w:val="22"/>
          <w:szCs w:val="22"/>
        </w:rPr>
        <w:t>Analisis Pertimbangan Hukum Hakim dalam Putusan Pengadilan Negeri Jakarta Utara Nomor 711/Pdt.G/2022/PN.Jkt.Utr</w:t>
      </w:r>
      <w:bookmarkEnd w:id="14"/>
    </w:p>
    <w:p w14:paraId="7B5103D9"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Dasar Pertimbangan Hakim</w:t>
      </w:r>
    </w:p>
    <w:p w14:paraId="6E0DA3E6"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Dalam memutus suatu perkara perdata, hakim berkewajiban mempertimbangkan seluruh fakta hukum yang terungkap selama persidangan. Pertimbangan hukum tersebut merupakan dasar bagi hakim dalam menentukan ada atau tidaknya pelanggaran terhadap hak dan kewajiban para pihak sebagaimana diatur dalam peraturan perundang-undangan. Pada Putusan Pengadilan Negeri Jakarta Utara Nomor 711/Pdt.G/2022/PN.Jkt.Utr, Majelis Hakim terlebih dahulu menilai hubungan hukum antara Penggugat dan Tergugat berdasarkan Perjanjian Kerja Sama Operasi (KSO) Produksi Bijih Nikel beserta addendum yang telah disepakati oleh kedua belah pihak.</w:t>
      </w:r>
    </w:p>
    <w:p w14:paraId="1C55A95D"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Fakta Hukum</w:t>
      </w:r>
    </w:p>
    <w:p w14:paraId="1D4F238A"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Fakta hukum yang menjadi pertimbangan hakim diperoleh dari pemeriksaan terhadap gugatan Penggugat, jawaban Tergugat, replik, duplik, alat bukti surat, keterangan saksi, serta pengakuan para pihak selama persidangan. Dari fakta-fakta tersebut diketahui bahwa antara Penggugat dan Tergugat telah terjalin hubungan hukum yang sah melalui Perjanjian Kerja Sama Operasi. Dalam pelaksanaannya muncul sengketa mengenai lahan yang menjadi lokasi kegiatan pertambangan sehingga menghambat pelaksanaan kewajiban sebagaimana diperjanjikan.</w:t>
      </w:r>
    </w:p>
    <w:p w14:paraId="001314F1"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Majelis Hakim selanjutnya menilai apakah hambatan tersebut merupakan bentuk wanprestasi yang dapat dipertanggungjawabkan kepada salah satu pihak atau merupakan keadaan yang berada di luar kemampuan para pihak. Penilaian tersebut menjadi pokok pertimbangan dalam menentukan apakah gugatan Penggugat beralasan menurut hukum.</w:t>
      </w:r>
    </w:p>
    <w:p w14:paraId="771710AD"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lastRenderedPageBreak/>
        <w:t>Alat Bukti</w:t>
      </w:r>
    </w:p>
    <w:p w14:paraId="4AE7C6B7"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 xml:space="preserve">Berdasarkan Pasal 1866 KUHPerdata </w:t>
      </w:r>
      <w:proofErr w:type="gramStart"/>
      <w:r w:rsidRPr="00BC24CF">
        <w:rPr>
          <w:rFonts w:ascii="Times New Roman" w:eastAsia="Book Antiqua" w:hAnsi="Times New Roman" w:cs="Times New Roman"/>
          <w:sz w:val="22"/>
          <w:szCs w:val="22"/>
        </w:rPr>
        <w:t>jo</w:t>
      </w:r>
      <w:proofErr w:type="gramEnd"/>
      <w:r w:rsidRPr="00BC24CF">
        <w:rPr>
          <w:rFonts w:ascii="Times New Roman" w:eastAsia="Book Antiqua" w:hAnsi="Times New Roman" w:cs="Times New Roman"/>
          <w:sz w:val="22"/>
          <w:szCs w:val="22"/>
        </w:rPr>
        <w:t xml:space="preserve">. Pasal 164 HIR, alat bukti dalam perkara perdata meliputi bukti </w:t>
      </w:r>
      <w:proofErr w:type="gramStart"/>
      <w:r w:rsidRPr="00BC24CF">
        <w:rPr>
          <w:rFonts w:ascii="Times New Roman" w:eastAsia="Book Antiqua" w:hAnsi="Times New Roman" w:cs="Times New Roman"/>
          <w:sz w:val="22"/>
          <w:szCs w:val="22"/>
        </w:rPr>
        <w:t>surat</w:t>
      </w:r>
      <w:proofErr w:type="gramEnd"/>
      <w:r w:rsidRPr="00BC24CF">
        <w:rPr>
          <w:rFonts w:ascii="Times New Roman" w:eastAsia="Book Antiqua" w:hAnsi="Times New Roman" w:cs="Times New Roman"/>
          <w:sz w:val="22"/>
          <w:szCs w:val="22"/>
        </w:rPr>
        <w:t>, saksi, persangkaan, pengakuan, dan sumpah. Dalam perkara ini, Majelis Hakim menilai seluruh alat bukti yang diajukan oleh Penggugat maupun Tergugat secara objektif dan menyeluruh. Penilaian terhadap alat bukti bertujuan untuk memperoleh keyakinan mengenai kebenaran dalil-dalil yang diajukan oleh masing-masing pihak.</w:t>
      </w:r>
    </w:p>
    <w:p w14:paraId="38BF4A80"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Keterangan Saksi</w:t>
      </w:r>
    </w:p>
    <w:p w14:paraId="1D99D92F"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 xml:space="preserve">Selain bukti tertulis, Majelis Hakim juga mempertimbangkan keterangan saksi yang diajukan oleh para pihak. Keterangan saksi digunakan untuk memperjelas kronologi pelaksanaan Perjanjian Kerja Sama Operasi, kondisi objek pertambangan, proses pelaksanaan kewajiban masing-masing pihak, serta penyebab terjadinya sengketa lahan. Keterangan tersebut kemudian dibandingkan dengan bukti </w:t>
      </w:r>
      <w:proofErr w:type="gramStart"/>
      <w:r w:rsidRPr="00BC24CF">
        <w:rPr>
          <w:rFonts w:ascii="Times New Roman" w:eastAsia="Book Antiqua" w:hAnsi="Times New Roman" w:cs="Times New Roman"/>
          <w:sz w:val="22"/>
          <w:szCs w:val="22"/>
        </w:rPr>
        <w:t>surat</w:t>
      </w:r>
      <w:proofErr w:type="gramEnd"/>
      <w:r w:rsidRPr="00BC24CF">
        <w:rPr>
          <w:rFonts w:ascii="Times New Roman" w:eastAsia="Book Antiqua" w:hAnsi="Times New Roman" w:cs="Times New Roman"/>
          <w:sz w:val="22"/>
          <w:szCs w:val="22"/>
        </w:rPr>
        <w:t xml:space="preserve"> sehingga diperoleh kesesuaian antara fakta yang disampaikan di persidangan dengan dokumen yang diajukan.</w:t>
      </w:r>
    </w:p>
    <w:p w14:paraId="322D9AE5"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Bukti Surat</w:t>
      </w:r>
    </w:p>
    <w:p w14:paraId="1A9C0D39"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 xml:space="preserve">Bukti </w:t>
      </w:r>
      <w:proofErr w:type="gramStart"/>
      <w:r w:rsidRPr="00BC24CF">
        <w:rPr>
          <w:rFonts w:ascii="Times New Roman" w:eastAsia="Book Antiqua" w:hAnsi="Times New Roman" w:cs="Times New Roman"/>
          <w:sz w:val="22"/>
          <w:szCs w:val="22"/>
        </w:rPr>
        <w:t>surat</w:t>
      </w:r>
      <w:proofErr w:type="gramEnd"/>
      <w:r w:rsidRPr="00BC24CF">
        <w:rPr>
          <w:rFonts w:ascii="Times New Roman" w:eastAsia="Book Antiqua" w:hAnsi="Times New Roman" w:cs="Times New Roman"/>
          <w:sz w:val="22"/>
          <w:szCs w:val="22"/>
        </w:rPr>
        <w:t xml:space="preserve"> merupakan alat bukti utama dalam perkara wanprestasi karena menjadi dasar lahirnya hubungan hukum para pihak. Dalam perkara ini, Majelis Hakim memberikan perhatian khusus terhadap Akta Perjanjian Kerja Sama Operasi Produksi Bijih Nikel beserta addendumnya. Selain itu, hakim juga mempertimbangkan dokumen perizinan, surat-menyurat antara para pihak, berita acara, serta dokumen lain yang berkaitan dengan pelaksanaan kerja </w:t>
      </w:r>
      <w:proofErr w:type="gramStart"/>
      <w:r w:rsidRPr="00BC24CF">
        <w:rPr>
          <w:rFonts w:ascii="Times New Roman" w:eastAsia="Book Antiqua" w:hAnsi="Times New Roman" w:cs="Times New Roman"/>
          <w:sz w:val="22"/>
          <w:szCs w:val="22"/>
        </w:rPr>
        <w:t>sama</w:t>
      </w:r>
      <w:proofErr w:type="gramEnd"/>
      <w:r w:rsidRPr="00BC24CF">
        <w:rPr>
          <w:rFonts w:ascii="Times New Roman" w:eastAsia="Book Antiqua" w:hAnsi="Times New Roman" w:cs="Times New Roman"/>
          <w:sz w:val="22"/>
          <w:szCs w:val="22"/>
        </w:rPr>
        <w:t>. Melalui bukti-bukti tersebut, hakim menilai hak dan kewajiban masing-masing pihak serta menentukan apakah telah terjadi pelanggaran terhadap isi perjanjian.</w:t>
      </w:r>
    </w:p>
    <w:p w14:paraId="6FB408DD"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Ketentuan Kitab Undang-Undang Hukum Perdata</w:t>
      </w:r>
    </w:p>
    <w:p w14:paraId="68C4F939"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Dalam pertimbangannya, Majelis Hakim mendasarkan putusan pada ketentuan hukum perjanjian dalam Kitab Undang-Undang Hukum Perdata, khususnya Pasal 1320 mengenai syarat sah perjanjian, Pasal 1338 mengenai kekuatan mengikat perjanjian, Pasal 1238 mengenai kelalaian (wanprestasi), serta Pasal 1243 mengenai ganti rugi akibat wanprestasi. Ketentuan-ketentuan tersebut menjadi dasar hukum dalam menilai apakah salah satu pihak telah melanggar kewajiban kontraktual yang telah disepakati.</w:t>
      </w:r>
    </w:p>
    <w:p w14:paraId="6799F21F"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Kesesuaian Pertimbangan Hakim dengan Peraturan Perundang-undangan</w:t>
      </w:r>
    </w:p>
    <w:p w14:paraId="17EA771D"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Ditinjau dari Kitab Undang-Undang Hukum Perdata</w:t>
      </w:r>
    </w:p>
    <w:p w14:paraId="18E863F0"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Menurut analisis penulis, pertimbangan hakim telah mengacu pada prinsip-prinsip hukum perjanjian yang diatur dalam KUHPerdata. Hakim terlebih dahulu memastikan bahwa Perjanjian Kerja Sama Operasi memenuhi syarat sah sebagaimana diatur dalam Pasal 1320 KUHPerdata sebelum menilai adanya wanprestasi. Selanjutnya, hakim menerapkan Pasal 1338 KUHPerdata yang menegaskan bahwa setiap perjanjian yang dibuat secara sah mengikat para pihak sebagai undang-undang.</w:t>
      </w:r>
    </w:p>
    <w:p w14:paraId="264E9DD8"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 xml:space="preserve">Dalam menentukan adanya wanprestasi, hakim juga mempertimbangkan apakah kewajiban yang diperjanjikan benar-benar tidak dilaksanakan atau tidak dapat dipenuhi oleh salah satu pihak sehingga </w:t>
      </w:r>
      <w:r w:rsidRPr="00BC24CF">
        <w:rPr>
          <w:rFonts w:ascii="Times New Roman" w:eastAsia="Book Antiqua" w:hAnsi="Times New Roman" w:cs="Times New Roman"/>
          <w:sz w:val="22"/>
          <w:szCs w:val="22"/>
        </w:rPr>
        <w:lastRenderedPageBreak/>
        <w:t>menimbulkan kerugian bagi pihak lainnya. Pendekatan tersebut telah sesuai dengan konsep wanprestasi sebagaimana diatur dalam KUHPerdata.</w:t>
      </w:r>
    </w:p>
    <w:p w14:paraId="310A2F07"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Ditinjau dari Undang-Undang Nomor 48 Tahun 2009 tentang Kekuasaan Kehakiman</w:t>
      </w:r>
    </w:p>
    <w:p w14:paraId="6EBAE4ED"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Pertimbangan hakim juga telah mencerminkan pelaksanaan asas peradilan sebagaimana diatur dalam Undang-Undang Nomor 48 Tahun 2009 tentang Kekuasaan Kehakiman. Hakim wajib memeriksa, mengadili, dan memutus perkara secara independen berdasarkan fakta yang terungkap di persidangan serta memberikan alasan hukum yang jelas dalam setiap putusannya. Dengan mempertimbangkan alat bukti secara menyeluruh dan memberikan argumentasi hukum dalam putusan, hakim telah menjalankan kewajibannya sesuai dengan prinsip kekuasaan kehakiman yang merdeka.</w:t>
      </w:r>
    </w:p>
    <w:p w14:paraId="12ED3995"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Ditinjau dari Doktrin Para Ahli</w:t>
      </w:r>
    </w:p>
    <w:p w14:paraId="31C6C8BF"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Pendapat Subekti menyatakan bahwa wanprestasi terjadi apabila debitur tidak memenuhi prestasinya, terlambat memenuhi prestasi, atau memenuhi prestasi tetapi tidak sebagaimana mestinya. Sementara itu, Yahya Harahap berpendapat bahwa pembuktian wanprestasi harus didasarkan pada isi perjanjian dan alat bukti yang diajukan di persidangan. Doktrin tersebut sejalan dengan pertimbangan hakim yang berfokus pada isi Perjanjian Kerja Sama Operasi sebagai dasar untuk menilai ada atau tidaknya pelanggaran kontrak.</w:t>
      </w:r>
    </w:p>
    <w:p w14:paraId="32100308"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Selain itu, J. Satrio menjelaskan bahwa setiap pelanggaran terhadap isi perjanjian yang menimbulkan kerugian bagi pihak lain dapat menjadi dasar untuk menuntut ganti rugi. Pendapat tersebut memperkuat pertimbangan hakim dalam menentukan akibat hukum apabila terbukti terjadi wanprestasi.</w:t>
      </w:r>
    </w:p>
    <w:p w14:paraId="2B5113DD"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Ditinjau dari Yurisprudensi</w:t>
      </w:r>
    </w:p>
    <w:p w14:paraId="6073C379"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Dalam praktik peradilan, Mahkamah Agung secara konsisten menegaskan bahwa gugatan wanprestasi harus dibuktikan dengan adanya hubungan hukum, kewajiban yang tidak dipenuhi, serta kerugian yang dialami oleh pihak yang dirugikan. Oleh karena itu, pertimbangan hakim dalam perkara ini pada dasarnya telah sejalan dengan prinsip-prinsip yang berkembang dalam yurisprudensi mengena  sengketa wanprestasi.</w:t>
      </w:r>
    </w:p>
    <w:p w14:paraId="541EF004"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Analisis Penulis</w:t>
      </w:r>
    </w:p>
    <w:p w14:paraId="23C57E17"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Berdasarkan analisis Putusan Pengadilan Negeri Jakarta Utara Nomor 711/Pdt.G/2022/PN.Jkt.Utr, Majelis Hakim telah menerapkan hukum perjanjian dengan menilai hubungan hukum para pihak berdasarkan Perjanjian KSO, memeriksa alat bukti, dan menghubungkan fakta hukum dengan ketentuan KUHPerdata tentang wanprestasi.</w:t>
      </w:r>
    </w:p>
    <w:p w14:paraId="6A83060E"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Namun, pertimbangan hakim masih dapat diperdalam, terutama mengenai hubungan kausal antara sengketa lahan dan kegagalan prestasi. Hakim perlu menjelaskan apakah sengketa tersebut merupakan </w:t>
      </w:r>
      <w:r w:rsidRPr="00CB41EB">
        <w:rPr>
          <w:rFonts w:ascii="Times New Roman" w:eastAsia="Book Antiqua" w:hAnsi="Times New Roman" w:cs="Times New Roman"/>
          <w:i/>
          <w:iCs/>
          <w:sz w:val="22"/>
          <w:szCs w:val="22"/>
        </w:rPr>
        <w:t>force majeure</w:t>
      </w:r>
      <w:r w:rsidRPr="00CB41EB">
        <w:rPr>
          <w:rFonts w:ascii="Times New Roman" w:eastAsia="Book Antiqua" w:hAnsi="Times New Roman" w:cs="Times New Roman"/>
          <w:sz w:val="22"/>
          <w:szCs w:val="22"/>
        </w:rPr>
        <w:t xml:space="preserve"> atau risiko yang menjadi tanggung jawab salah satu pihak berdasarkan perjanjian. Asas itikad baik dalam Pasal 1338 ayat (3) KUHPerdata juga perlu dikaji lebih mendalam, khususnya kewajiban para pihak untuk bertindak jujur, terbuka, dan menjaga kepentingan masing-</w:t>
      </w:r>
      <w:r w:rsidRPr="00CB41EB">
        <w:rPr>
          <w:rFonts w:ascii="Times New Roman" w:eastAsia="Book Antiqua" w:hAnsi="Times New Roman" w:cs="Times New Roman"/>
          <w:sz w:val="22"/>
          <w:szCs w:val="22"/>
        </w:rPr>
        <w:lastRenderedPageBreak/>
        <w:t>masing. Jika salah satu pihak mengetahui potensi sengketa lahan tetapi tidak mengungkapkannya, tindakan tersebut dapat bertentangan dengan asas itikad baik.</w:t>
      </w:r>
    </w:p>
    <w:p w14:paraId="3F8C2EC9"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Menurut penulis, putusan tersebut telah memberikan kepastian hukum melalui penerapan ketentuan wanprestasi, tetapi </w:t>
      </w:r>
      <w:proofErr w:type="gramStart"/>
      <w:r w:rsidRPr="00CB41EB">
        <w:rPr>
          <w:rFonts w:ascii="Times New Roman" w:eastAsia="Book Antiqua" w:hAnsi="Times New Roman" w:cs="Times New Roman"/>
          <w:sz w:val="22"/>
          <w:szCs w:val="22"/>
        </w:rPr>
        <w:t>akan</w:t>
      </w:r>
      <w:proofErr w:type="gramEnd"/>
      <w:r w:rsidRPr="00CB41EB">
        <w:rPr>
          <w:rFonts w:ascii="Times New Roman" w:eastAsia="Book Antiqua" w:hAnsi="Times New Roman" w:cs="Times New Roman"/>
          <w:sz w:val="22"/>
          <w:szCs w:val="22"/>
        </w:rPr>
        <w:t xml:space="preserve"> lebih komprehensif jika mempertimbangkan asas kebebasan berkontrak, </w:t>
      </w:r>
      <w:r w:rsidRPr="00CB41EB">
        <w:rPr>
          <w:rFonts w:ascii="Times New Roman" w:eastAsia="Book Antiqua" w:hAnsi="Times New Roman" w:cs="Times New Roman"/>
          <w:i/>
          <w:iCs/>
          <w:sz w:val="22"/>
          <w:szCs w:val="22"/>
        </w:rPr>
        <w:t>pacta sunt servanda</w:t>
      </w:r>
      <w:r w:rsidRPr="00CB41EB">
        <w:rPr>
          <w:rFonts w:ascii="Times New Roman" w:eastAsia="Book Antiqua" w:hAnsi="Times New Roman" w:cs="Times New Roman"/>
          <w:sz w:val="22"/>
          <w:szCs w:val="22"/>
        </w:rPr>
        <w:t>, itikad baik, dan pembagian risiko dalam KSO. Dengan demikian, putusan dapat memberikan kepastian hukum sekaligus mencerminkan keadilan dan kemanfaatan bagi para pihak.</w:t>
      </w:r>
    </w:p>
    <w:p w14:paraId="3F24D960"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Akibat Hukum Wanprestasi Akibat Sengketa Lahan dalam Perjanjian Kerja Sama Operasi Pertambangan</w:t>
      </w:r>
    </w:p>
    <w:p w14:paraId="03B41A69"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Wanprestasi merupakan bentuk pelanggaran terhadap kewajiban yang telah disepakati dalam suatu perjanjian. Dalam hubungan hukum yang lahir dari Perjanjian Kerja Sama Operasi (KSO), setiap pihak memiliki kewajiban untuk melaksanakan prestasi sesuai dengan isi perjanjian. Apabila salah satu pihak tidak memenuhi kewajibannya sehingga menimbulkan kerugian bagi pihak lainnya, maka berdasarkan hukum perdata pihak tersebut dapat dimintai pertanggungjawaban. Dalam Putusan Pengadilan Negeri Jakarta Utara Nomor 711/Pdt.G/2022/PN.Jkt.Utr, sengketa lahan yang terjadi dalam pelaksanaan kerja sama operasi menjadi faktor utama yang memicu perselisihan mengenai pemenuhan hak dan kewajiban para pihak.</w:t>
      </w:r>
    </w:p>
    <w:p w14:paraId="2F65DC27"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Kerugian yang Dialami Penggugat</w:t>
      </w:r>
    </w:p>
    <w:p w14:paraId="71BB8BDF"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Berdasarkan fakta yang terungkap dalam persidangan, Penggugat mendalilkan bahwa sengketa lahan menyebabkan kegiatan operasi pertambangan tidak dapat berjalan sebagaimana mestinya. Hambatan tersebut mengakibatkan Penggugat mengalami kerugian berupa terhentinya kegiatan produksi, tidak tercapainya target usaha yang telah direncanakan, meningkatnya biaya operasional yang telah dikeluarkan, serta hilangnya kesempatan memperoleh keuntungan yang semestinya diperoleh dari pelaksanaan Perjanjian Kerja Sama Operasi.</w:t>
      </w:r>
    </w:p>
    <w:p w14:paraId="42F1E3B2"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Menurut penulis, kerugian yang dialami Penggugat merupakan akibat langsung dari tidak terpenuhinya kewajiban kontraktual yang menjadi tanggung jawab pihak yang berkewajiban menjamin tersedianya objek kerja sama. Dalam hukum perdata, kerugian tersebut dapat dikategorikan sebagai kerugian materiil sepanjang dapat dibuktikan dengan alat bukti yang sah selama proses persidangan. Selain kerugian materiil, Penggugat juga mendalilkan adanya kerugian akibat terganggunya kegiatan usaha serta hubungan bisnis yang telah dibangun. Namun demikian, pembuktian terhadap kerugian tersebut tetap harus didasarkan pada bukti yang cukup agar dapat dipertimbangkan oleh Majelis Hakim.</w:t>
      </w:r>
    </w:p>
    <w:p w14:paraId="54B8FCE7"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Kerugian yang Dialami Tergugat</w:t>
      </w:r>
    </w:p>
    <w:p w14:paraId="57CB1092"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Di sisi lain, Tergugat juga dapat mengalami kerugian akibat timbulnya sengketa tersebut. Apabila kegiatan pertambangan tidak dapat dilaksanakan sesuai dengan isi perjanjian, maka Tergugat juga kehilangan potensi pendapatan yang diperoleh dari kerja sama operasi. Selain itu, sengketa yang berlangsung di pengadilan dapat memengaruhi reputasi perusahaan, menghambat kelangsungan investasi, serta mengurangi kepercayaan mitra usaha terhadap perusahaan.</w:t>
      </w:r>
    </w:p>
    <w:p w14:paraId="24478509"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lastRenderedPageBreak/>
        <w:t>Menurut analisis penulis, meskipun kedua belah pihak sama-sama mengalami kerugian, penentuan pihak yang bertanggung jawab tetap harus didasarkan pada isi perjanjian, pembagian hak dan kewajiban, serta pembuktian mengenai pihak yang terlebih dahulu melakukan wanprestasi. Oleh karena itu, kerugian yang dialami Tergugat tidak secara otomatis menghapus tanggung jawabnya apabila terbukti telah melanggar kewajiban yang diperjanjikan.</w:t>
      </w:r>
    </w:p>
    <w:p w14:paraId="66C7757F"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Ganti Rugi Akibat Wanprestasi</w:t>
      </w:r>
    </w:p>
    <w:p w14:paraId="1ADEA966"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Ganti rugi akibat wanprestasi diatur dalam Pasal 1243 KUHPerdata dan dapat dituntut apabila debitur tetap tidak memenuhi kewajibannya setelah dinyatakan lalai atau melewati waktu yang ditentukan dalam perjanjian.</w:t>
      </w:r>
    </w:p>
    <w:p w14:paraId="6B157443"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Dalam perkara ini, Penggugat menuntut ganti rugi karena Tergugat dianggap tidak memenuhi kewajibannya dalam Perjanjian KSO. Menurut penulis, tuntutan tersebut dapat dikabulkan apabila Penggugat membuktikan hubungan kausal antara wanprestasi Tergugat dan kerugian yang dialaminya.</w:t>
      </w:r>
    </w:p>
    <w:p w14:paraId="311A0FBF"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Pasal 1238 KUHPerdata mengatur bahwa debitur dinyatakan lalai setelah mendapat peringatan atau somasi, kecuali perjanjian menentukan kelalaian terjadi otomatis setelah lewat waktu tertentu. Dengan demikian, somasi atau peringatan menjadi unsur penting dalam pembuktian wanprestasi.</w:t>
      </w:r>
    </w:p>
    <w:p w14:paraId="745A60AD"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Pembatalan Perjanjian</w:t>
      </w:r>
    </w:p>
    <w:p w14:paraId="34F89C87"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Apabila salah satu pihak terbukti wanprestasi, pihak yang dirugikan dapat meminta pembatalan perjanjian melalui pengadilan berdasarkan Pasal 1266 KUHPerdata. Hakim berwenang menilai apakah wanprestasi cukup serius untuk membatalkan perjanjian.</w:t>
      </w:r>
    </w:p>
    <w:p w14:paraId="4099A802"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Dalam perkara ini, pembatalan KSO dilakukan jika pelanggaran telah menghilangkan tujuan utama perjanjian dan menghambat kelangsungan kerja </w:t>
      </w:r>
      <w:proofErr w:type="gramStart"/>
      <w:r w:rsidRPr="00CB41EB">
        <w:rPr>
          <w:rFonts w:ascii="Times New Roman" w:eastAsia="Book Antiqua" w:hAnsi="Times New Roman" w:cs="Times New Roman"/>
          <w:sz w:val="22"/>
          <w:szCs w:val="22"/>
        </w:rPr>
        <w:t>sama</w:t>
      </w:r>
      <w:proofErr w:type="gramEnd"/>
      <w:r w:rsidRPr="00CB41EB">
        <w:rPr>
          <w:rFonts w:ascii="Times New Roman" w:eastAsia="Book Antiqua" w:hAnsi="Times New Roman" w:cs="Times New Roman"/>
          <w:sz w:val="22"/>
          <w:szCs w:val="22"/>
        </w:rPr>
        <w:t>. Jika perjanjian masih dapat dilaksanakan, pembatalan sebaiknya menjadi upaya terakhir (</w:t>
      </w:r>
      <w:r w:rsidRPr="00CB41EB">
        <w:rPr>
          <w:rFonts w:ascii="Times New Roman" w:eastAsia="Book Antiqua" w:hAnsi="Times New Roman" w:cs="Times New Roman"/>
          <w:i/>
          <w:iCs/>
          <w:sz w:val="22"/>
          <w:szCs w:val="22"/>
        </w:rPr>
        <w:t>ultimum remedium</w:t>
      </w:r>
      <w:r w:rsidRPr="00CB41EB">
        <w:rPr>
          <w:rFonts w:ascii="Times New Roman" w:eastAsia="Book Antiqua" w:hAnsi="Times New Roman" w:cs="Times New Roman"/>
          <w:sz w:val="22"/>
          <w:szCs w:val="22"/>
        </w:rPr>
        <w:t>).</w:t>
      </w:r>
    </w:p>
    <w:p w14:paraId="61CF1AB5"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Menurut penulis, pembatalan harus mempertimbangkan kepastian hukum, keadilan, dan kemanfaatan, termasuk dampaknya terhadap para pihak dan keberlanjutan kegiatan usaha.</w:t>
      </w:r>
    </w:p>
    <w:p w14:paraId="329646FA"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Pemenuhan Prestasi</w:t>
      </w:r>
    </w:p>
    <w:p w14:paraId="0DA05EEE"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Selain pembatalan, pihak yang dirugikan dapat menuntut pemenuhan kewajiban berdasarkan Pasal 1267 KUHPerdata, yang memberikan pilihan berupa pemenuhan perjanjian, pembatalan, ganti rugi, atau kombinasi tuntutan sesuai keadaan perkara.</w:t>
      </w:r>
    </w:p>
    <w:p w14:paraId="5C6695B1"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Dalam perkara ini, jika sengketa lahan masih dapat diselesaikan dan objek kerja </w:t>
      </w:r>
      <w:proofErr w:type="gramStart"/>
      <w:r w:rsidRPr="00CB41EB">
        <w:rPr>
          <w:rFonts w:ascii="Times New Roman" w:eastAsia="Book Antiqua" w:hAnsi="Times New Roman" w:cs="Times New Roman"/>
          <w:sz w:val="22"/>
          <w:szCs w:val="22"/>
        </w:rPr>
        <w:t>sama</w:t>
      </w:r>
      <w:proofErr w:type="gramEnd"/>
      <w:r w:rsidRPr="00CB41EB">
        <w:rPr>
          <w:rFonts w:ascii="Times New Roman" w:eastAsia="Book Antiqua" w:hAnsi="Times New Roman" w:cs="Times New Roman"/>
          <w:sz w:val="22"/>
          <w:szCs w:val="22"/>
        </w:rPr>
        <w:t xml:space="preserve"> tetap dapat dimanfaatkan, pemenuhan prestasi menjadi alternatif yang lebih bermanfaat daripada pembatalan. Dengan demikian, tujuan kerja </w:t>
      </w:r>
      <w:proofErr w:type="gramStart"/>
      <w:r w:rsidRPr="00CB41EB">
        <w:rPr>
          <w:rFonts w:ascii="Times New Roman" w:eastAsia="Book Antiqua" w:hAnsi="Times New Roman" w:cs="Times New Roman"/>
          <w:sz w:val="22"/>
          <w:szCs w:val="22"/>
        </w:rPr>
        <w:t>sama</w:t>
      </w:r>
      <w:proofErr w:type="gramEnd"/>
      <w:r w:rsidRPr="00CB41EB">
        <w:rPr>
          <w:rFonts w:ascii="Times New Roman" w:eastAsia="Book Antiqua" w:hAnsi="Times New Roman" w:cs="Times New Roman"/>
          <w:sz w:val="22"/>
          <w:szCs w:val="22"/>
        </w:rPr>
        <w:t xml:space="preserve"> dapat tercapai tanpa mengakhiri hubungan kontraktual.</w:t>
      </w:r>
    </w:p>
    <w:p w14:paraId="4937DBDC"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Perlindungan Hukum bagi Para Pihak</w:t>
      </w:r>
    </w:p>
    <w:p w14:paraId="7BB562BA"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Perlindungan hukum dalam sengketa wanprestasi bertujuan menjamin hak dan kewajiban para pihak melalui penyelesaian di pengadilan berdasarkan asas sederhana, cepat, dan biaya ringan sebagaimana diatur dalam Undang-Undang Nomor 48 Tahun 2009. Perlindungan juga diberikan melalui ketentuan KUHPerdata tentang wanprestasi, ganti rugi, pembatalan, dan pemenuhan prestasi, </w:t>
      </w:r>
      <w:r w:rsidRPr="00CB41EB">
        <w:rPr>
          <w:rFonts w:ascii="Times New Roman" w:eastAsia="Book Antiqua" w:hAnsi="Times New Roman" w:cs="Times New Roman"/>
          <w:sz w:val="22"/>
          <w:szCs w:val="22"/>
        </w:rPr>
        <w:lastRenderedPageBreak/>
        <w:t>sehingga pihak yang dirugikan dapat menuntut haknya dan pihak yang diduga wanprestasi dapat membela diri melalui pembuktian.</w:t>
      </w:r>
    </w:p>
    <w:p w14:paraId="789983CF"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Menurut penulis, perlindungan hukum tidak hanya bergantung pada putusan pengadilan, tetapi juga kepatuhan para pihak dalam melaksanakan KSO berdasarkan asas itikad baik, kepastian hukum, dan keadilan. Pelaksanaan kewajiban sesuai perjanjian dapat meminimalkan sengketa dan mendukung tercapainya tujuan kerja </w:t>
      </w:r>
      <w:proofErr w:type="gramStart"/>
      <w:r w:rsidRPr="00CB41EB">
        <w:rPr>
          <w:rFonts w:ascii="Times New Roman" w:eastAsia="Book Antiqua" w:hAnsi="Times New Roman" w:cs="Times New Roman"/>
          <w:sz w:val="22"/>
          <w:szCs w:val="22"/>
        </w:rPr>
        <w:t>sama</w:t>
      </w:r>
      <w:proofErr w:type="gramEnd"/>
      <w:r w:rsidRPr="00CB41EB">
        <w:rPr>
          <w:rFonts w:ascii="Times New Roman" w:eastAsia="Book Antiqua" w:hAnsi="Times New Roman" w:cs="Times New Roman"/>
          <w:sz w:val="22"/>
          <w:szCs w:val="22"/>
        </w:rPr>
        <w:t>.</w:t>
      </w:r>
    </w:p>
    <w:p w14:paraId="3462A159"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Berdasarkan Putusan Nomor 711/Pdt.G/2022/PN.Jkt.Utr, akibat wanprestasi dapat berupa ganti rugi, pembatalan, atau pemenuhan prestasi. Pemenuhan prestasi sebaiknya diutamakan jika perjanjian masih dapat dilaksanakan karena sesuai asas </w:t>
      </w:r>
      <w:r w:rsidRPr="00CB41EB">
        <w:rPr>
          <w:rFonts w:ascii="Times New Roman" w:eastAsia="Book Antiqua" w:hAnsi="Times New Roman" w:cs="Times New Roman"/>
          <w:i/>
          <w:iCs/>
          <w:sz w:val="22"/>
          <w:szCs w:val="22"/>
        </w:rPr>
        <w:t>pacta sunt servanda</w:t>
      </w:r>
      <w:r w:rsidRPr="00CB41EB">
        <w:rPr>
          <w:rFonts w:ascii="Times New Roman" w:eastAsia="Book Antiqua" w:hAnsi="Times New Roman" w:cs="Times New Roman"/>
          <w:sz w:val="22"/>
          <w:szCs w:val="22"/>
        </w:rPr>
        <w:t xml:space="preserve"> dan bermanfaat bagi para pihak. Namun, jika wanprestasi menghambat tercapainya tujuan perjanjian dan menimbulkan kerugian signifikan, ganti rugi atau pembatalan dapat menjadi bentuk perlindungan hukum yang tepat.</w:t>
      </w:r>
    </w:p>
    <w:p w14:paraId="635F6196"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Temuan Hukum (Legal Findings)</w:t>
      </w:r>
    </w:p>
    <w:p w14:paraId="5D2F985F"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Berdasarkan hasil analisis terhadap Putusan Pengadilan Negeri Jakarta Utara Nomor 711/Pdt.G/2022/PN.Jkt.Utr, penulis menemukan beberapa temuan hukum yang berkaitan dengan pelaksanaan Perjanjian Kerja Sama Operasi (KSO) Produksi Bijih Nikel, khususnya mengenai wanprestasi yang timbul akibat adanya sengketa lahan. Temuan hukum ini diperoleh melalui analisis terhadap fakta persidangan, pertimbangan hukum hakim, ketentuan Kitab Undang-Undang Hukum Perdata (KUHPerdata), serta doktrin hukum perjanjian yang telah dibahas pada bab sebelumnya.</w:t>
      </w:r>
    </w:p>
    <w:p w14:paraId="05F56F66"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Sengketa Lahan sebagai Faktor Utama Terhambatnya Pelaksanaan Perjanjian Kerja Sama Operasi</w:t>
      </w:r>
    </w:p>
    <w:p w14:paraId="33BF4B56"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Temuan pertama menunjukkan bahwa sengketa lahan merupakan faktor utama yang menghambat pelaksanaan Perjanjian Kerja Sama Operasi antara para pihak. Sengketa mengenai status penguasaan dan kepemilikan lahan menyebabkan kegiatan operasi pertambangan tidak dapat dilaksanakan secara optimal sehingga tujuan kerja sama sebagaimana diperjanjikan tidak tercapai.</w:t>
      </w:r>
    </w:p>
    <w:p w14:paraId="4CB9ED52"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Menurut analisis penulis, keberadaan lahan yang bebas dari sengketa merupakan unsur penting dalam pelaksanaan kegiatan pertambangan. Oleh karena itu, pihak yang berdasarkan perjanjian berkewajiban menyediakan objek kerja sama memiliki tanggung jawab hukum untuk memastikan bahwa lahan yang digunakan tidak menimbulkan hambatan dalam pelaksanaan kegiatan operasi. Apabila kewajiban tersebut tidak dipenuhi, maka keadaan tersebut dapat menjadi dasar adanya wanprestasi.</w:t>
      </w:r>
    </w:p>
    <w:p w14:paraId="13D23CC8"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Wanprestasi Terjadi karena Prestasi Tidak Dipenuhi Sesuai Isi Perjanjian</w:t>
      </w:r>
    </w:p>
    <w:p w14:paraId="03727DE8"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Temuan kedua menunjukkan bahwa wanprestasi dalam perkara ini terjadi karena salah satu pihak tidak mampu melaksanakan prestasi sebagaimana diperjanjikan dalam Perjanjian Kerja Sama Operasi. Berdasarkan ketentuan Pasal 1238 dan Pasal 1243 KUHPerdata, wanprestasi tidak hanya terjadi apabila seseorang sama sekali tidak memenuhi prestasi, tetapi juga apabila prestasi tersebut tidak dilaksanakan sebagaimana mestinya sehingga menimbulkan kerugian bagi pihak lain.</w:t>
      </w:r>
    </w:p>
    <w:p w14:paraId="5A54D810"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lastRenderedPageBreak/>
        <w:t>Dalam perkara ini, hambatan akibat sengketa lahan berdampak pada tidak terlaksananya kegiatan operasi pertambangan sesuai dengan isi kontrak. Menurut penulis, kondisi tersebut menunjukkan adanya hubungan sebab akibat (causal verband) antara tidak terpenuhinya kewajiban kontraktual dengan kerugian yang dialami oleh pihak yang merasa dirugikan. Oleh karena itu, unsur-unsur wanprestasi sebagaimana diatur dalam KUHPerdata pada prinsipnya telah terpenuhi sepanjang dapat dibuktikan melalui alat bukti yang sah di persidangan.</w:t>
      </w:r>
    </w:p>
    <w:p w14:paraId="03F1D327"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Pertimbangan Hakim Telah Mengacu pada KUHPerdata, Namun Masih Dapat Diperdalam</w:t>
      </w:r>
    </w:p>
    <w:p w14:paraId="4BCA7274"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Temuan ketiga menunjukkan bahwa Majelis Hakim dalam Putusan Nomor 711/Pdt.G/2022/PN.Jkt.Utr telah mendasarkan pertimbangannya pada KUHPerdata, khususnya mengenai syarat sah perjanjian, kekuatan mengikat, dan akibat hukum wanprestasi, sehingga memiliki dasar yuridis yang jelas.</w:t>
      </w:r>
    </w:p>
    <w:p w14:paraId="3095B172"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Namun, menurut penulis, pertimbangan hakim masih perlu diperdalam terkait penerapan asas itikad baik (</w:t>
      </w:r>
      <w:r w:rsidRPr="00CB41EB">
        <w:rPr>
          <w:rFonts w:ascii="Times New Roman" w:eastAsia="Book Antiqua" w:hAnsi="Times New Roman" w:cs="Times New Roman"/>
          <w:i/>
          <w:iCs/>
          <w:sz w:val="22"/>
          <w:szCs w:val="22"/>
        </w:rPr>
        <w:t>good faith</w:t>
      </w:r>
      <w:r w:rsidRPr="00CB41EB">
        <w:rPr>
          <w:rFonts w:ascii="Times New Roman" w:eastAsia="Book Antiqua" w:hAnsi="Times New Roman" w:cs="Times New Roman"/>
          <w:sz w:val="22"/>
          <w:szCs w:val="22"/>
        </w:rPr>
        <w:t>) berdasarkan Pasal 1338 ayat (3) KUHPerdata, terutama mengenai pelaksanaan kewajiban secara jujur, terbuka, dan saling menghormati kepentingan para pihak.</w:t>
      </w:r>
    </w:p>
    <w:p w14:paraId="79C52C11"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Selain itu, pembagian risiko atas sengketa lahan perlu diperjelas agar dapat menentukan pihak yang bertanggung jawab apabila objek perjanjian tidak dapat dimanfaatkan sebagaimana mestinya.</w:t>
      </w:r>
    </w:p>
    <w:p w14:paraId="0A842F76"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Putusan Memberikan Kepastian Hukum, Namun Belum Sepenuhnya Memenuhi Aspek Kemanfaatan</w:t>
      </w:r>
    </w:p>
    <w:p w14:paraId="4320C260"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Temuan keempat menunjukkan bahwa putusan Majelis Hakim telah memberikan kepastian hukum dengan menetapkan hak dan kewajiban para pihak berdasarkan KUHPerdata serta menyelesaikan sengketa sehingga status hubungan hukum menjadi jelas.</w:t>
      </w:r>
    </w:p>
    <w:p w14:paraId="5ACDBC8F"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Namun, menurut penulis, putusan tersebut belum sepenuhnya mencerminkan aspek kemanfaatan sebagaimana tujuan hukum Gustav Radbruch. Meskipun memberikan kepastian hukum, putusan belum tentu memulihkan hubungan kerja </w:t>
      </w:r>
      <w:proofErr w:type="gramStart"/>
      <w:r w:rsidRPr="00CB41EB">
        <w:rPr>
          <w:rFonts w:ascii="Times New Roman" w:eastAsia="Book Antiqua" w:hAnsi="Times New Roman" w:cs="Times New Roman"/>
          <w:sz w:val="22"/>
          <w:szCs w:val="22"/>
        </w:rPr>
        <w:t>sama</w:t>
      </w:r>
      <w:proofErr w:type="gramEnd"/>
      <w:r w:rsidRPr="00CB41EB">
        <w:rPr>
          <w:rFonts w:ascii="Times New Roman" w:eastAsia="Book Antiqua" w:hAnsi="Times New Roman" w:cs="Times New Roman"/>
          <w:sz w:val="22"/>
          <w:szCs w:val="22"/>
        </w:rPr>
        <w:t xml:space="preserve"> maupun tujuan ekonomi dalam Perjanjian KSO.</w:t>
      </w:r>
    </w:p>
    <w:p w14:paraId="21C79211" w14:textId="77777777" w:rsidR="00CB41EB" w:rsidRPr="00CB41EB" w:rsidRDefault="00CB41EB" w:rsidP="00CB41EB">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CB41EB">
        <w:rPr>
          <w:rFonts w:ascii="Times New Roman" w:eastAsia="Book Antiqua" w:hAnsi="Times New Roman" w:cs="Times New Roman"/>
          <w:sz w:val="22"/>
          <w:szCs w:val="22"/>
        </w:rPr>
        <w:t xml:space="preserve">Dalam kerja </w:t>
      </w:r>
      <w:proofErr w:type="gramStart"/>
      <w:r w:rsidRPr="00CB41EB">
        <w:rPr>
          <w:rFonts w:ascii="Times New Roman" w:eastAsia="Book Antiqua" w:hAnsi="Times New Roman" w:cs="Times New Roman"/>
          <w:sz w:val="22"/>
          <w:szCs w:val="22"/>
        </w:rPr>
        <w:t>sama</w:t>
      </w:r>
      <w:proofErr w:type="gramEnd"/>
      <w:r w:rsidRPr="00CB41EB">
        <w:rPr>
          <w:rFonts w:ascii="Times New Roman" w:eastAsia="Book Antiqua" w:hAnsi="Times New Roman" w:cs="Times New Roman"/>
          <w:sz w:val="22"/>
          <w:szCs w:val="22"/>
        </w:rPr>
        <w:t xml:space="preserve"> pertambangan yang melibatkan investasi, tenaga kerja, dan masyarakat sekitar, penyelesaian sengketa seharusnya mempertimbangkan kepastian hukum sekaligus keberlanjutan usaha dan kepentingan para pihak. Karena itu, renegosiasi atau pelaksanaan kembali kewajiban kontraktual dapat menjadi alternatif yang lebih bermanfaat jika masih memungkinkan.</w:t>
      </w:r>
    </w:p>
    <w:p w14:paraId="5B409C41"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Implikasi Hukum terhadap Perjanjian Kerja Sama Operasi di Bidang Pertambangan</w:t>
      </w:r>
    </w:p>
    <w:p w14:paraId="58B74BD8"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Berdasarkan hasil penelitian ini, penulis berpendapat bahwa setiap Perjanjian Kerja Sama Operasi di bidang pertambangan harus memuat pengaturan yang lebih rinci mengenai status hukum lahan, mekanisme penyelesaian sengketa, pembagian risiko, serta tanggung jawab masing-masing pihak apabila terjadi hambatan dalam pelaksanaan kegiatan pertambangan. Pengaturan tersebut diperlukan untuk mencegah timbulnya sengketa yang dapat berujung pada wanprestasi dan mengganggu keberlangsungan kerja sama.</w:t>
      </w:r>
    </w:p>
    <w:p w14:paraId="0AE57C55"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 xml:space="preserve">Selain itu, para pihak perlu menerapkan asas kehati-hatian (prudential principle) sejak tahap penyusunan perjanjian dengan melakukan pemeriksaan terhadap legalitas lahan, status perizinan, serta </w:t>
      </w:r>
      <w:r w:rsidRPr="00BC24CF">
        <w:rPr>
          <w:rFonts w:ascii="Times New Roman" w:eastAsia="Book Antiqua" w:hAnsi="Times New Roman" w:cs="Times New Roman"/>
          <w:sz w:val="22"/>
          <w:szCs w:val="22"/>
        </w:rPr>
        <w:lastRenderedPageBreak/>
        <w:t>potensi sengketa yang mungkin timbul di kemudian hari. Dengan demikian, tujuan kerja sama dapat tercapai tanpa menimbulkan kerugian bagi salah satu pihak.</w:t>
      </w:r>
    </w:p>
    <w:p w14:paraId="20DF7AB5" w14:textId="77777777" w:rsidR="00BC24CF" w:rsidRPr="00BC24CF" w:rsidRDefault="00BC24CF" w:rsidP="00BC24CF">
      <w:pPr>
        <w:pBdr>
          <w:top w:val="nil"/>
          <w:left w:val="nil"/>
          <w:bottom w:val="nil"/>
          <w:right w:val="nil"/>
          <w:between w:val="nil"/>
        </w:pBdr>
        <w:spacing w:after="120"/>
        <w:jc w:val="both"/>
        <w:rPr>
          <w:rFonts w:ascii="Times New Roman" w:eastAsia="Book Antiqua" w:hAnsi="Times New Roman" w:cs="Times New Roman"/>
          <w:b/>
          <w:sz w:val="22"/>
          <w:szCs w:val="22"/>
        </w:rPr>
      </w:pPr>
      <w:r w:rsidRPr="00BC24CF">
        <w:rPr>
          <w:rFonts w:ascii="Times New Roman" w:eastAsia="Book Antiqua" w:hAnsi="Times New Roman" w:cs="Times New Roman"/>
          <w:b/>
          <w:sz w:val="22"/>
          <w:szCs w:val="22"/>
        </w:rPr>
        <w:t>Kesimpulan Temuan Hukum</w:t>
      </w:r>
    </w:p>
    <w:p w14:paraId="38734394" w14:textId="77777777" w:rsidR="00BC24CF" w:rsidRPr="00BC24CF" w:rsidRDefault="00BC24CF" w:rsidP="00BC24CF">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BC24CF">
        <w:rPr>
          <w:rFonts w:ascii="Times New Roman" w:eastAsia="Book Antiqua" w:hAnsi="Times New Roman" w:cs="Times New Roman"/>
          <w:sz w:val="22"/>
          <w:szCs w:val="22"/>
        </w:rPr>
        <w:t>Berdasarkan seluruh hasil analisis, penulis menyimpulkan bahwa sengketa lahan dalam Putusan Pengadilan Negeri Jakarta Utara Nomor 711/Pdt.G/2022/PN.Jkt.Utr merupakan penyebab utama terhambatnya pelaksanaan Perjanjian Kerja Sama Operasi yang kemudian menimbulkan dugaan wanprestasi. Meskipun Majelis Hakim telah menerapkan ketentuan KUHPerdata sebagai dasar pertimbangan hukum, menurut penulis masih diperlukan analisis yang lebih mendalam mengenai penerapan asas itikad baik, pembagian risiko kontraktual, dan perlindungan hukum bagi para pihak. Temuan ini menunjukkan bahwa keberhasilan pelaksanaan Perjanjian Kerja Sama Operasi di bidang pertambangan tidak hanya bergantung pada keabsahan perjanjian, tetapi juga pada kepastian status hukum lahan, kepatuhan para pihak terhadap isi perjanjian, serta penerapan prinsip-prinsip hukum perjanjian secara konsisten.</w:t>
      </w:r>
    </w:p>
    <w:p w14:paraId="47FA5C55" w14:textId="77777777" w:rsidR="00226246" w:rsidRDefault="00226246" w:rsidP="00792308">
      <w:pPr>
        <w:suppressAutoHyphens/>
        <w:jc w:val="both"/>
        <w:textAlignment w:val="top"/>
        <w:outlineLvl w:val="0"/>
        <w:rPr>
          <w:rFonts w:ascii="Times New Roman" w:eastAsia="Times New Roman" w:hAnsi="Times New Roman" w:cs="Times New Roman"/>
          <w:b/>
          <w:kern w:val="0"/>
          <w:position w:val="-1"/>
          <w:sz w:val="22"/>
          <w:szCs w:val="22"/>
          <w:lang w:val="en-US"/>
          <w14:ligatures w14:val="none"/>
        </w:rPr>
      </w:pPr>
    </w:p>
    <w:p w14:paraId="0CD59FC7" w14:textId="4F066C9F" w:rsidR="00CD0478" w:rsidRDefault="00741EA2" w:rsidP="00AF5304">
      <w:pPr>
        <w:suppressAutoHyphens/>
        <w:spacing w:line="360" w:lineRule="auto"/>
        <w:jc w:val="both"/>
        <w:textAlignment w:val="top"/>
        <w:outlineLvl w:val="0"/>
        <w:rPr>
          <w:rFonts w:ascii="Times New Roman" w:eastAsia="Times New Roman" w:hAnsi="Times New Roman" w:cs="Times New Roman"/>
          <w:b/>
          <w:kern w:val="0"/>
          <w:position w:val="-1"/>
          <w:sz w:val="22"/>
          <w:szCs w:val="22"/>
          <w:lang w:val="en-US"/>
          <w14:ligatures w14:val="none"/>
        </w:rPr>
      </w:pPr>
      <w:r>
        <w:rPr>
          <w:rFonts w:ascii="Times New Roman" w:eastAsia="Times New Roman" w:hAnsi="Times New Roman" w:cs="Times New Roman"/>
          <w:b/>
          <w:kern w:val="0"/>
          <w:position w:val="-1"/>
          <w:sz w:val="22"/>
          <w:szCs w:val="22"/>
          <w:lang w:val="en-US"/>
          <w14:ligatures w14:val="none"/>
        </w:rPr>
        <w:t>KESIMPULAN</w:t>
      </w:r>
    </w:p>
    <w:p w14:paraId="6F29615A" w14:textId="77777777" w:rsidR="00D0290E" w:rsidRPr="00D0290E" w:rsidRDefault="00D0290E" w:rsidP="00D0290E">
      <w:pPr>
        <w:pBdr>
          <w:top w:val="nil"/>
          <w:left w:val="nil"/>
          <w:bottom w:val="nil"/>
          <w:right w:val="nil"/>
          <w:between w:val="nil"/>
        </w:pBdr>
        <w:spacing w:line="360" w:lineRule="auto"/>
        <w:ind w:firstLine="567"/>
        <w:jc w:val="both"/>
        <w:rPr>
          <w:rFonts w:ascii="Times New Roman" w:eastAsia="Book Antiqua" w:hAnsi="Times New Roman" w:cs="Times New Roman"/>
          <w:sz w:val="22"/>
          <w:szCs w:val="22"/>
        </w:rPr>
      </w:pPr>
      <w:r w:rsidRPr="00D0290E">
        <w:rPr>
          <w:rFonts w:ascii="Times New Roman" w:eastAsia="Book Antiqua" w:hAnsi="Times New Roman" w:cs="Times New Roman"/>
          <w:sz w:val="22"/>
          <w:szCs w:val="22"/>
        </w:rPr>
        <w:t xml:space="preserve">Penelitian ini menunjukkan bahwa Perjanjian Kerja Sama Operasi (KSO) pertambangan dalam Putusan Pengadilan Negeri Jakarta Utara Nomor 711/Pdt.G/2022/PN.Jkt.Utr telah memenuhi syarat sah perjanjian berdasarkan Pasal 1320 KUHPerdata dan mengikat para pihak sesuai Pasal 1338 KUHPerdata. Namun, sengketa lahan menghambat pelaksanaan hak dan kewajiban para pihak sehingga menimbulkan wanprestasi. Pertimbangan hakim telah berlandaskan ketentuan hukum perjanjian dan wanprestasi, meskipun aspek itikad baik serta pembagian risiko dalam KSO masih dapat dianalisis lebih mendalam. Akibat hukum wanprestasi memberikan hak kepada pihak yang dirugikan untuk menuntut pemenuhan prestasi, ganti rugi, atau pembatalan perjanjian sesuai KUHPerdata. Penelitian ini berkontribusi memperkuat kajian hukum perdata mengenai hubungan antara sengketa lahan dan wanprestasi dalam perjanjian kerja </w:t>
      </w:r>
      <w:proofErr w:type="gramStart"/>
      <w:r w:rsidRPr="00D0290E">
        <w:rPr>
          <w:rFonts w:ascii="Times New Roman" w:eastAsia="Book Antiqua" w:hAnsi="Times New Roman" w:cs="Times New Roman"/>
          <w:sz w:val="22"/>
          <w:szCs w:val="22"/>
        </w:rPr>
        <w:t>sama</w:t>
      </w:r>
      <w:proofErr w:type="gramEnd"/>
      <w:r w:rsidRPr="00D0290E">
        <w:rPr>
          <w:rFonts w:ascii="Times New Roman" w:eastAsia="Book Antiqua" w:hAnsi="Times New Roman" w:cs="Times New Roman"/>
          <w:sz w:val="22"/>
          <w:szCs w:val="22"/>
        </w:rPr>
        <w:t xml:space="preserve"> operasi pertambangan serta menegaskan pentingnya kepastian status hukum lahan sebelum pelaksanaan kontrak. Ke depan, penelitian empiris mengenai penerapan KSO di sektor pertambangan dan studi komparatif terhadap putusan pengadilan sejenis diperlukan untuk memperkaya pengembangan hukum kontrak dan meningkatkan kepastian hukum dalam praktik. </w:t>
      </w:r>
    </w:p>
    <w:p w14:paraId="31245270" w14:textId="77777777" w:rsidR="0091290A" w:rsidRDefault="0091290A" w:rsidP="00226246">
      <w:pPr>
        <w:suppressAutoHyphens/>
        <w:jc w:val="both"/>
        <w:textAlignment w:val="top"/>
        <w:outlineLvl w:val="0"/>
        <w:rPr>
          <w:rFonts w:ascii="Times New Roman" w:eastAsia="Times New Roman" w:hAnsi="Times New Roman" w:cs="Times New Roman"/>
          <w:b/>
          <w:kern w:val="0"/>
          <w:position w:val="-1"/>
          <w:sz w:val="22"/>
          <w:szCs w:val="22"/>
          <w:lang w:val="en-US"/>
          <w14:ligatures w14:val="none"/>
        </w:rPr>
      </w:pPr>
    </w:p>
    <w:p w14:paraId="38E63C51" w14:textId="7EC9DFEE" w:rsidR="00516995" w:rsidRPr="00AF5304" w:rsidRDefault="00741EA2" w:rsidP="00AF5304">
      <w:pPr>
        <w:suppressAutoHyphens/>
        <w:spacing w:line="360" w:lineRule="auto"/>
        <w:jc w:val="both"/>
        <w:textAlignment w:val="top"/>
        <w:outlineLvl w:val="0"/>
        <w:rPr>
          <w:rFonts w:ascii="Times New Roman" w:eastAsia="Times New Roman" w:hAnsi="Times New Roman" w:cs="Times New Roman"/>
          <w:b/>
          <w:kern w:val="0"/>
          <w:position w:val="-1"/>
          <w:sz w:val="22"/>
          <w:szCs w:val="22"/>
          <w:lang w:val="en-US"/>
          <w14:ligatures w14:val="none"/>
        </w:rPr>
      </w:pPr>
      <w:r>
        <w:rPr>
          <w:rFonts w:ascii="Times New Roman" w:eastAsia="Times New Roman" w:hAnsi="Times New Roman" w:cs="Times New Roman"/>
          <w:b/>
          <w:kern w:val="0"/>
          <w:position w:val="-1"/>
          <w:sz w:val="22"/>
          <w:szCs w:val="22"/>
          <w:lang w:val="en-US"/>
          <w14:ligatures w14:val="none"/>
        </w:rPr>
        <w:t>REFERENSI</w:t>
      </w:r>
    </w:p>
    <w:p w14:paraId="6EF8E655"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Abdul Latif, Daryono, J. W., &amp; Fitriah, S. N. (2025). Analisis yuridis terhadap wanprestasi dalam pengikatan perjanjian jual beli (PPJB) serta perlindungan hukum terhadap pihak yang dirugikan dalam perspektif hukum kontrak. El-Iqthisady: Jurnal Hukum Ekonomi Syariah.</w:t>
      </w:r>
    </w:p>
    <w:p w14:paraId="5DA931E7" w14:textId="3EB345B4"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Ali, Z. (2021). Metode penelitian hukum. Sinar Grafika.</w:t>
      </w:r>
      <w:r w:rsidR="00B04BD0">
        <w:rPr>
          <w:rFonts w:ascii="Times New Roman" w:eastAsia="Times New Roman" w:hAnsi="Times New Roman" w:cs="Times New Roman"/>
          <w:kern w:val="0"/>
          <w:sz w:val="22"/>
          <w:lang w:eastAsia="en-ID"/>
          <w14:ligatures w14:val="none"/>
        </w:rPr>
        <w:t xml:space="preserve"> </w:t>
      </w:r>
    </w:p>
    <w:p w14:paraId="3EEC61D4"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 xml:space="preserve">Banuaji, P. B. (2025). Wanprestasi dalam perjanjian pemborongan pekerjaan pembangunan sistem interkoneksi kabel laut antara PT PLN (Persero) dan kerja </w:t>
      </w:r>
      <w:proofErr w:type="gramStart"/>
      <w:r w:rsidRPr="00D0290E">
        <w:rPr>
          <w:rFonts w:ascii="Times New Roman" w:eastAsia="Times New Roman" w:hAnsi="Times New Roman" w:cs="Times New Roman"/>
          <w:kern w:val="0"/>
          <w:sz w:val="22"/>
          <w:lang w:eastAsia="en-ID"/>
          <w14:ligatures w14:val="none"/>
        </w:rPr>
        <w:t>sama</w:t>
      </w:r>
      <w:proofErr w:type="gramEnd"/>
      <w:r w:rsidRPr="00D0290E">
        <w:rPr>
          <w:rFonts w:ascii="Times New Roman" w:eastAsia="Times New Roman" w:hAnsi="Times New Roman" w:cs="Times New Roman"/>
          <w:kern w:val="0"/>
          <w:sz w:val="22"/>
          <w:lang w:eastAsia="en-ID"/>
          <w14:ligatures w14:val="none"/>
        </w:rPr>
        <w:t xml:space="preserve"> operasi (Studi Putusan Nomor 915/Pdt.G/2023/PN Dps) [Skripsi, Universitas Jenderal Soedirman].</w:t>
      </w:r>
    </w:p>
    <w:p w14:paraId="0D71E5F9"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lastRenderedPageBreak/>
        <w:t xml:space="preserve">Faizal, A. (2022). Akibat hukum terhadap pihak yang melakukan wanprestasi dalam perjanjian kerja </w:t>
      </w:r>
      <w:proofErr w:type="gramStart"/>
      <w:r w:rsidRPr="00D0290E">
        <w:rPr>
          <w:rFonts w:ascii="Times New Roman" w:eastAsia="Times New Roman" w:hAnsi="Times New Roman" w:cs="Times New Roman"/>
          <w:kern w:val="0"/>
          <w:sz w:val="22"/>
          <w:lang w:eastAsia="en-ID"/>
          <w14:ligatures w14:val="none"/>
        </w:rPr>
        <w:t>sama</w:t>
      </w:r>
      <w:proofErr w:type="gramEnd"/>
      <w:r w:rsidRPr="00D0290E">
        <w:rPr>
          <w:rFonts w:ascii="Times New Roman" w:eastAsia="Times New Roman" w:hAnsi="Times New Roman" w:cs="Times New Roman"/>
          <w:kern w:val="0"/>
          <w:sz w:val="22"/>
          <w:lang w:eastAsia="en-ID"/>
          <w14:ligatures w14:val="none"/>
        </w:rPr>
        <w:t xml:space="preserve"> antara PT. Karya Metropolitan Utama dengan Yayasan Abdurrab (Analisis Putusan Mahkamah Agung Nomor 960PK/PDT/2021) [Skripsi, Universitas Nasional].</w:t>
      </w:r>
    </w:p>
    <w:p w14:paraId="659040C5"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Hamdi, M. N. R., et al. (2024). Upaya hukum terhadap wanprestasi: Perspektif hukum perikatan dan penegakan hukum di Indonesia. SYARIAH: Jurnal Ilmu Hukum, 2(1).</w:t>
      </w:r>
    </w:p>
    <w:p w14:paraId="6A11B20F"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Harahap, M. Y. (1986). Segi-segi hukum perjanjian. Alumni.</w:t>
      </w:r>
    </w:p>
    <w:p w14:paraId="43E8EA40"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Marzuki, P. M. (2021). Penelitian hukum (Edisi revisi). Kencana.</w:t>
      </w:r>
    </w:p>
    <w:p w14:paraId="596F7C4E"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proofErr w:type="gramStart"/>
      <w:r w:rsidRPr="00D0290E">
        <w:rPr>
          <w:rFonts w:ascii="Times New Roman" w:eastAsia="Times New Roman" w:hAnsi="Times New Roman" w:cs="Times New Roman"/>
          <w:kern w:val="0"/>
          <w:sz w:val="22"/>
          <w:lang w:eastAsia="en-ID"/>
          <w14:ligatures w14:val="none"/>
        </w:rPr>
        <w:t>Monalisa.,</w:t>
      </w:r>
      <w:proofErr w:type="gramEnd"/>
      <w:r w:rsidRPr="00D0290E">
        <w:rPr>
          <w:rFonts w:ascii="Times New Roman" w:eastAsia="Times New Roman" w:hAnsi="Times New Roman" w:cs="Times New Roman"/>
          <w:kern w:val="0"/>
          <w:sz w:val="22"/>
          <w:lang w:eastAsia="en-ID"/>
          <w14:ligatures w14:val="none"/>
        </w:rPr>
        <w:t xml:space="preserve"> Hasan, U. Y., &amp; Yahya, T. (2025). Gugatan immateriil dalam konteks wanprestasi pada perjanjian di Indonesia. Jurnal Hukum Mimbar Justitia, 11(1).</w:t>
      </w:r>
    </w:p>
    <w:p w14:paraId="25009B1F"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Nuraida, S. R., Putri, N., Rahmawati, I., &amp; Bahri, M. (2024). Hukum perikatan: Wanprestasi dan hapusnya perjanjian. Jurnal Ilmu Multidisiplin, 3(1). https://doi.org/10.53935/jim.v3.i1.39</w:t>
      </w:r>
    </w:p>
    <w:p w14:paraId="234BC57C"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Pengadilan Negeri Jakarta Utara. (2022). Putusan Pengadilan Negeri Jakarta Utara Nomor 711/Pdt.G/2022/PN.Jkt.Utr.</w:t>
      </w:r>
    </w:p>
    <w:p w14:paraId="2CE3FBFE"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Radbruch, G. (1950). Legal philosophy (K. Wilk, Trans.). Harvard University Press.</w:t>
      </w:r>
    </w:p>
    <w:p w14:paraId="4146FFDD"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Salim HS. (2019). Hukum kontrak: Teori dan teknik penyusunan kontrak. Sinar Grafika.</w:t>
      </w:r>
    </w:p>
    <w:p w14:paraId="5BD28ACA"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Salim HS. (2021). Hukum pertambangan mineral dan batubara. Sinar Grafika.</w:t>
      </w:r>
    </w:p>
    <w:p w14:paraId="3723487E"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Satrio, J. (1995a). Hukum perikatan: Perikatan yang lahir dari perjanjian (Buku I). Citra Aditya Bakti.</w:t>
      </w:r>
    </w:p>
    <w:p w14:paraId="5FA0CCD5"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Satrio, J. (1995b). Hukum perikatan: Perikatan yang lahir dari perjanjian (Buku II). Citra Aditya Bakti.</w:t>
      </w:r>
    </w:p>
    <w:p w14:paraId="36DEF706"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 xml:space="preserve">Simanjuntak, A. S. (2026). Tinjauan yuridis terhadap wanprestasi dalam perjanjian kerja </w:t>
      </w:r>
      <w:proofErr w:type="gramStart"/>
      <w:r w:rsidRPr="00D0290E">
        <w:rPr>
          <w:rFonts w:ascii="Times New Roman" w:eastAsia="Times New Roman" w:hAnsi="Times New Roman" w:cs="Times New Roman"/>
          <w:kern w:val="0"/>
          <w:sz w:val="22"/>
          <w:lang w:eastAsia="en-ID"/>
          <w14:ligatures w14:val="none"/>
        </w:rPr>
        <w:t>sama</w:t>
      </w:r>
      <w:proofErr w:type="gramEnd"/>
      <w:r w:rsidRPr="00D0290E">
        <w:rPr>
          <w:rFonts w:ascii="Times New Roman" w:eastAsia="Times New Roman" w:hAnsi="Times New Roman" w:cs="Times New Roman"/>
          <w:kern w:val="0"/>
          <w:sz w:val="22"/>
          <w:lang w:eastAsia="en-ID"/>
          <w14:ligatures w14:val="none"/>
        </w:rPr>
        <w:t xml:space="preserve"> operasi non administratif (Studi Putusan Nomor 457/Pdt.G/2022/PN.Jkt.Tim) [Skripsi, Fakultas Hukum, Universitas Jenderal Soedirman].</w:t>
      </w:r>
    </w:p>
    <w:p w14:paraId="22B76D62"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Soekanto, S., &amp; Mamudji, S. (2019). Penelitian hukum normatif: Suatu tinjauan singkat. Rajawali Pers.</w:t>
      </w:r>
    </w:p>
    <w:p w14:paraId="71EC1806"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Subekti, R. (2005). Hukum perjanjian (Cetakan ke-21). Intermasa.</w:t>
      </w:r>
    </w:p>
    <w:p w14:paraId="09628CB4" w14:textId="77777777" w:rsidR="00D0290E" w:rsidRPr="00D0290E" w:rsidRDefault="00D0290E" w:rsidP="00D0290E">
      <w:pPr>
        <w:spacing w:line="360" w:lineRule="auto"/>
        <w:ind w:left="567" w:hanging="567"/>
        <w:jc w:val="both"/>
        <w:rPr>
          <w:rFonts w:ascii="Times New Roman" w:eastAsia="Times New Roman" w:hAnsi="Times New Roman" w:cs="Times New Roman"/>
          <w:kern w:val="0"/>
          <w:sz w:val="22"/>
          <w:lang w:eastAsia="en-ID"/>
          <w14:ligatures w14:val="none"/>
        </w:rPr>
      </w:pPr>
      <w:r w:rsidRPr="00D0290E">
        <w:rPr>
          <w:rFonts w:ascii="Times New Roman" w:eastAsia="Times New Roman" w:hAnsi="Times New Roman" w:cs="Times New Roman"/>
          <w:kern w:val="0"/>
          <w:sz w:val="22"/>
          <w:lang w:eastAsia="en-ID"/>
          <w14:ligatures w14:val="none"/>
        </w:rPr>
        <w:t xml:space="preserve">Upaya hukum terhadap wanprestasi dalam perjanjian kerja </w:t>
      </w:r>
      <w:proofErr w:type="gramStart"/>
      <w:r w:rsidRPr="00D0290E">
        <w:rPr>
          <w:rFonts w:ascii="Times New Roman" w:eastAsia="Times New Roman" w:hAnsi="Times New Roman" w:cs="Times New Roman"/>
          <w:kern w:val="0"/>
          <w:sz w:val="22"/>
          <w:lang w:eastAsia="en-ID"/>
          <w14:ligatures w14:val="none"/>
        </w:rPr>
        <w:t>sama</w:t>
      </w:r>
      <w:proofErr w:type="gramEnd"/>
      <w:r w:rsidRPr="00D0290E">
        <w:rPr>
          <w:rFonts w:ascii="Times New Roman" w:eastAsia="Times New Roman" w:hAnsi="Times New Roman" w:cs="Times New Roman"/>
          <w:kern w:val="0"/>
          <w:sz w:val="22"/>
          <w:lang w:eastAsia="en-ID"/>
          <w14:ligatures w14:val="none"/>
        </w:rPr>
        <w:t xml:space="preserve"> bisnis pada perusahaan pertambangan. (2025). Jurnal Hukum Legalita, 7(1).</w:t>
      </w:r>
    </w:p>
    <w:p w14:paraId="24BC85DF" w14:textId="77777777" w:rsidR="00D0290E" w:rsidRPr="00855DA4" w:rsidRDefault="00D0290E" w:rsidP="00D0290E">
      <w:pPr>
        <w:keepNext/>
        <w:spacing w:line="360" w:lineRule="auto"/>
        <w:ind w:left="864" w:hangingChars="360" w:hanging="864"/>
        <w:jc w:val="both"/>
        <w:rPr>
          <w:rFonts w:ascii="Times New Roman" w:eastAsia="Times New Roman" w:hAnsi="Times New Roman" w:cs="Times New Roman"/>
          <w:lang w:val="en-ID"/>
        </w:rPr>
      </w:pPr>
    </w:p>
    <w:p w14:paraId="1668F4A0" w14:textId="77777777" w:rsidR="008D497E" w:rsidRDefault="008D497E" w:rsidP="008D497E">
      <w:pPr>
        <w:pStyle w:val="Heading1"/>
        <w:spacing w:line="480" w:lineRule="auto"/>
        <w:rPr>
          <w:rFonts w:asciiTheme="majorBidi" w:hAnsiTheme="majorBidi"/>
          <w:bCs/>
          <w:color w:val="000000" w:themeColor="text1"/>
        </w:rPr>
      </w:pPr>
    </w:p>
    <w:p w14:paraId="537D4A7B" w14:textId="77777777" w:rsidR="008D497E" w:rsidRPr="00F50141" w:rsidRDefault="008D497E" w:rsidP="008D497E">
      <w:pPr>
        <w:widowControl w:val="0"/>
        <w:ind w:firstLine="720"/>
        <w:jc w:val="both"/>
        <w:rPr>
          <w:rFonts w:ascii="Book Antiqua" w:eastAsia="Book Antiqua" w:hAnsi="Book Antiqua" w:cs="Book Antiqua"/>
          <w:sz w:val="22"/>
          <w:szCs w:val="22"/>
        </w:rPr>
      </w:pPr>
    </w:p>
    <w:p w14:paraId="349A5802" w14:textId="2030E388" w:rsidR="00B20FDD" w:rsidRPr="004B4373" w:rsidRDefault="00B20FDD" w:rsidP="00226246">
      <w:pPr>
        <w:spacing w:line="360" w:lineRule="auto"/>
        <w:ind w:left="567" w:hanging="567"/>
        <w:jc w:val="both"/>
        <w:rPr>
          <w:rFonts w:ascii="Times New Roman" w:eastAsia="Times New Roman" w:hAnsi="Times New Roman" w:cs="Times New Roman"/>
          <w:kern w:val="0"/>
          <w:sz w:val="22"/>
          <w:lang w:eastAsia="en-ID"/>
          <w14:ligatures w14:val="none"/>
        </w:rPr>
      </w:pPr>
    </w:p>
    <w:sectPr w:rsidR="00B20FDD" w:rsidRPr="004B4373" w:rsidSect="002202DB">
      <w:headerReference w:type="even" r:id="rId8"/>
      <w:headerReference w:type="default" r:id="rId9"/>
      <w:headerReference w:type="first" r:id="rId10"/>
      <w:pgSz w:w="11904" w:h="16836"/>
      <w:pgMar w:top="1440" w:right="1440" w:bottom="1440" w:left="1440" w:header="708" w:footer="708" w:gutter="0"/>
      <w:pgNumType w:start="327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FDA9C" w14:textId="77777777" w:rsidR="00126F17" w:rsidRDefault="00126F17" w:rsidP="004845BE">
      <w:r>
        <w:separator/>
      </w:r>
    </w:p>
  </w:endnote>
  <w:endnote w:type="continuationSeparator" w:id="0">
    <w:p w14:paraId="53DC3E43" w14:textId="77777777" w:rsidR="00126F17" w:rsidRDefault="00126F17" w:rsidP="00484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8730A" w14:textId="77777777" w:rsidR="00126F17" w:rsidRDefault="00126F17" w:rsidP="004845BE">
      <w:r>
        <w:separator/>
      </w:r>
    </w:p>
  </w:footnote>
  <w:footnote w:type="continuationSeparator" w:id="0">
    <w:p w14:paraId="22D39AE0" w14:textId="77777777" w:rsidR="00126F17" w:rsidRDefault="00126F17" w:rsidP="00484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61EED" w14:textId="4FC29964" w:rsidR="005527D9" w:rsidRDefault="005527D9" w:rsidP="00DD01F2">
    <w:pPr>
      <w:pBdr>
        <w:top w:val="nil"/>
        <w:left w:val="nil"/>
        <w:bottom w:val="nil"/>
        <w:right w:val="nil"/>
        <w:between w:val="nil"/>
      </w:pBdr>
      <w:tabs>
        <w:tab w:val="left" w:pos="709"/>
      </w:tabs>
      <w:ind w:leftChars="-1" w:hangingChars="1" w:hanging="2"/>
      <w:jc w:val="both"/>
    </w:pPr>
    <w:r w:rsidRPr="004845BE">
      <w:rPr>
        <w:rFonts w:ascii="Times New Roman" w:hAnsi="Times New Roman" w:cs="Times New Roman"/>
        <w:color w:val="000000"/>
        <w:sz w:val="18"/>
        <w:szCs w:val="18"/>
      </w:rPr>
      <w:fldChar w:fldCharType="begin"/>
    </w:r>
    <w:r w:rsidRPr="004845BE">
      <w:rPr>
        <w:rFonts w:ascii="Times New Roman" w:hAnsi="Times New Roman" w:cs="Times New Roman"/>
        <w:color w:val="000000"/>
        <w:sz w:val="18"/>
        <w:szCs w:val="18"/>
      </w:rPr>
      <w:instrText>PAGE</w:instrText>
    </w:r>
    <w:r w:rsidRPr="004845BE">
      <w:rPr>
        <w:rFonts w:ascii="Times New Roman" w:hAnsi="Times New Roman" w:cs="Times New Roman"/>
        <w:color w:val="000000"/>
        <w:sz w:val="18"/>
        <w:szCs w:val="18"/>
      </w:rPr>
      <w:fldChar w:fldCharType="separate"/>
    </w:r>
    <w:r w:rsidR="00D45797">
      <w:rPr>
        <w:rFonts w:ascii="Times New Roman" w:hAnsi="Times New Roman" w:cs="Times New Roman"/>
        <w:noProof/>
        <w:color w:val="000000"/>
        <w:sz w:val="18"/>
        <w:szCs w:val="18"/>
      </w:rPr>
      <w:t>3286</w:t>
    </w:r>
    <w:r w:rsidRPr="004845BE">
      <w:rPr>
        <w:rFonts w:ascii="Times New Roman" w:hAnsi="Times New Roman" w:cs="Times New Roman"/>
        <w:color w:val="000000"/>
        <w:sz w:val="18"/>
        <w:szCs w:val="18"/>
      </w:rPr>
      <w:fldChar w:fldCharType="end"/>
    </w:r>
    <w:r w:rsidRPr="004845BE">
      <w:rPr>
        <w:rFonts w:ascii="Times New Roman" w:hAnsi="Times New Roman" w:cs="Times New Roman"/>
        <w:color w:val="000000"/>
        <w:sz w:val="18"/>
        <w:szCs w:val="18"/>
      </w:rPr>
      <w:t xml:space="preserve"> </w:t>
    </w:r>
    <w:r w:rsidRPr="004845BE">
      <w:rPr>
        <w:rFonts w:ascii="Times New Roman" w:hAnsi="Times New Roman" w:cs="Times New Roman"/>
        <w:b/>
        <w:color w:val="000000"/>
        <w:sz w:val="18"/>
        <w:szCs w:val="18"/>
      </w:rPr>
      <w:t xml:space="preserve"> </w:t>
    </w:r>
    <w:r w:rsidRPr="004845BE">
      <w:rPr>
        <w:rFonts w:ascii="Times New Roman" w:hAnsi="Times New Roman" w:cs="Times New Roman"/>
        <w:b/>
        <w:i/>
        <w:color w:val="000000"/>
        <w:sz w:val="18"/>
        <w:szCs w:val="18"/>
      </w:rPr>
      <w:tab/>
    </w:r>
    <w:r w:rsidRPr="004845BE">
      <w:rPr>
        <w:rFonts w:ascii="Times New Roman" w:hAnsi="Times New Roman" w:cs="Times New Roman"/>
        <w:b/>
        <w:i/>
        <w:color w:val="000000"/>
        <w:sz w:val="18"/>
        <w:szCs w:val="18"/>
      </w:rPr>
      <w:tab/>
      <w:t xml:space="preserve"> </w:t>
    </w:r>
    <w:r>
      <w:rPr>
        <w:rFonts w:ascii="Times New Roman" w:hAnsi="Times New Roman" w:cs="Times New Roman"/>
        <w:b/>
        <w:i/>
        <w:color w:val="000000"/>
        <w:sz w:val="18"/>
        <w:szCs w:val="18"/>
      </w:rPr>
      <w:t xml:space="preserve">            </w:t>
    </w:r>
    <w:r w:rsidRPr="004845BE">
      <w:rPr>
        <w:rFonts w:ascii="Times New Roman" w:hAnsi="Times New Roman" w:cs="Times New Roman"/>
        <w:b/>
        <w:i/>
        <w:color w:val="000000"/>
        <w:sz w:val="18"/>
        <w:szCs w:val="18"/>
      </w:rPr>
      <w:t>Jurnal Pustaka Cendekia Hukum dan Ilmu Sosial</w:t>
    </w:r>
    <w:r>
      <w:rPr>
        <w:rFonts w:ascii="Times New Roman" w:hAnsi="Times New Roman" w:cs="Times New Roman"/>
        <w:i/>
        <w:color w:val="000000"/>
        <w:sz w:val="18"/>
        <w:szCs w:val="18"/>
      </w:rPr>
      <w:t xml:space="preserve">, </w:t>
    </w:r>
    <w:r w:rsidR="002B1832" w:rsidRPr="002B1832">
      <w:rPr>
        <w:rFonts w:ascii="Times New Roman" w:hAnsi="Times New Roman" w:cs="Times New Roman"/>
        <w:i/>
        <w:color w:val="000000"/>
        <w:sz w:val="18"/>
        <w:szCs w:val="18"/>
      </w:rPr>
      <w:t>Volume 4, No. 2, June-September</w:t>
    </w:r>
    <w:r>
      <w:rPr>
        <w:rFonts w:ascii="Times New Roman" w:hAnsi="Times New Roman" w:cs="Times New Roman"/>
        <w:color w:val="000000"/>
        <w:sz w:val="18"/>
        <w:szCs w:val="18"/>
      </w:rPr>
      <w:t xml:space="preserve"> 2026</w:t>
    </w:r>
    <w:r w:rsidRPr="004845BE">
      <w:rPr>
        <w:rFonts w:ascii="Times New Roman" w:hAnsi="Times New Roman" w:cs="Times New Roman"/>
        <w:i/>
        <w:color w:val="000000"/>
        <w:sz w:val="18"/>
        <w:szCs w:val="18"/>
      </w:rPr>
      <w:t xml:space="preserve">, hal. </w:t>
    </w:r>
    <w:r w:rsidR="002202DB" w:rsidRPr="002202DB">
      <w:rPr>
        <w:rFonts w:ascii="Times New Roman" w:hAnsi="Times New Roman" w:cs="Times New Roman"/>
        <w:color w:val="000000"/>
        <w:sz w:val="18"/>
        <w:szCs w:val="18"/>
      </w:rPr>
      <w:t>3273</w:t>
    </w:r>
    <w:r w:rsidR="002202DB">
      <w:rPr>
        <w:rFonts w:ascii="Times New Roman" w:hAnsi="Times New Roman" w:cs="Times New Roman"/>
        <w:color w:val="000000"/>
        <w:sz w:val="18"/>
        <w:szCs w:val="18"/>
      </w:rPr>
      <w:t>-3287</w:t>
    </w:r>
  </w:p>
  <w:p w14:paraId="443D2F8E" w14:textId="77777777" w:rsidR="005527D9" w:rsidRDefault="005527D9"/>
  <w:p w14:paraId="7A564308" w14:textId="77777777" w:rsidR="005527D9" w:rsidRDefault="005527D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DD836" w14:textId="61F8682F" w:rsidR="005527D9" w:rsidRPr="004845BE" w:rsidRDefault="00A44BEA" w:rsidP="00F56975">
    <w:pPr>
      <w:pBdr>
        <w:top w:val="nil"/>
        <w:left w:val="nil"/>
        <w:bottom w:val="nil"/>
        <w:right w:val="nil"/>
        <w:between w:val="nil"/>
      </w:pBdr>
      <w:ind w:hanging="2"/>
      <w:jc w:val="both"/>
      <w:rPr>
        <w:rFonts w:ascii="Times New Roman" w:hAnsi="Times New Roman" w:cs="Times New Roman"/>
        <w:i/>
        <w:color w:val="000000"/>
        <w:sz w:val="18"/>
        <w:szCs w:val="18"/>
      </w:rPr>
    </w:pPr>
    <w:r w:rsidRPr="00A44BEA">
      <w:rPr>
        <w:rFonts w:ascii="Times New Roman" w:hAnsi="Times New Roman" w:cs="Times New Roman"/>
        <w:b/>
        <w:i/>
        <w:color w:val="000000"/>
        <w:sz w:val="18"/>
        <w:szCs w:val="18"/>
      </w:rPr>
      <w:t xml:space="preserve">Analisis Yuridis Wanprestasi Akibat Adanya Sengketa Lahan dalam Perjanjian Kerja Sama Operasi Pertambangan (Studi Putusan Pengadilan Negeri Jakarta Utara </w:t>
    </w:r>
    <w:proofErr w:type="gramStart"/>
    <w:r w:rsidRPr="00A44BEA">
      <w:rPr>
        <w:rFonts w:ascii="Times New Roman" w:hAnsi="Times New Roman" w:cs="Times New Roman"/>
        <w:b/>
        <w:i/>
        <w:color w:val="000000"/>
        <w:sz w:val="18"/>
        <w:szCs w:val="18"/>
      </w:rPr>
      <w:t>Nomor :</w:t>
    </w:r>
    <w:proofErr w:type="gramEnd"/>
    <w:r w:rsidRPr="00A44BEA">
      <w:rPr>
        <w:rFonts w:ascii="Times New Roman" w:hAnsi="Times New Roman" w:cs="Times New Roman"/>
        <w:b/>
        <w:i/>
        <w:color w:val="000000"/>
        <w:sz w:val="18"/>
        <w:szCs w:val="18"/>
      </w:rPr>
      <w:t xml:space="preserve"> 711/Pdt.G/2022/PN.Jkt.Utr), </w:t>
    </w:r>
    <w:r w:rsidRPr="00A44BEA">
      <w:rPr>
        <w:rFonts w:ascii="Times New Roman" w:hAnsi="Times New Roman" w:cs="Times New Roman"/>
        <w:i/>
        <w:color w:val="000000"/>
        <w:sz w:val="18"/>
        <w:szCs w:val="18"/>
      </w:rPr>
      <w:t>Nada Bela Alawiyah, Rahmad Sujud Hidayat, Naufal Ilham Ramadhan</w:t>
    </w:r>
    <w:r w:rsidR="00F56975">
      <w:rPr>
        <w:rFonts w:ascii="Times New Roman" w:hAnsi="Times New Roman" w:cs="Times New Roman"/>
        <w:b/>
        <w:i/>
        <w:color w:val="000000"/>
        <w:sz w:val="18"/>
        <w:szCs w:val="18"/>
      </w:rPr>
      <w:tab/>
    </w:r>
    <w:r w:rsidR="00F56975">
      <w:rPr>
        <w:rFonts w:ascii="Times New Roman" w:hAnsi="Times New Roman" w:cs="Times New Roman"/>
        <w:b/>
        <w:i/>
        <w:color w:val="000000"/>
        <w:sz w:val="18"/>
        <w:szCs w:val="18"/>
      </w:rPr>
      <w:tab/>
    </w:r>
    <w:r w:rsidR="001127C3">
      <w:rPr>
        <w:rFonts w:ascii="Times New Roman" w:hAnsi="Times New Roman" w:cs="Times New Roman"/>
        <w:b/>
        <w:i/>
        <w:color w:val="000000"/>
        <w:sz w:val="18"/>
        <w:szCs w:val="18"/>
      </w:rPr>
      <w:tab/>
    </w:r>
    <w:r w:rsidR="00F56975">
      <w:rPr>
        <w:rFonts w:ascii="Times New Roman" w:hAnsi="Times New Roman" w:cs="Times New Roman"/>
        <w:b/>
        <w:i/>
        <w:color w:val="000000"/>
        <w:sz w:val="18"/>
        <w:szCs w:val="18"/>
      </w:rPr>
      <w:tab/>
    </w:r>
    <w:r w:rsidR="00F56975">
      <w:rPr>
        <w:rFonts w:ascii="Times New Roman" w:hAnsi="Times New Roman" w:cs="Times New Roman"/>
        <w:b/>
        <w:i/>
        <w:color w:val="000000"/>
        <w:sz w:val="18"/>
        <w:szCs w:val="18"/>
      </w:rPr>
      <w:tab/>
    </w:r>
    <w:r w:rsidR="00885640">
      <w:rPr>
        <w:rFonts w:ascii="Times New Roman" w:hAnsi="Times New Roman" w:cs="Times New Roman"/>
        <w:b/>
        <w:i/>
        <w:color w:val="000000"/>
        <w:sz w:val="18"/>
        <w:szCs w:val="18"/>
      </w:rPr>
      <w:tab/>
    </w:r>
    <w:r w:rsidR="00885640">
      <w:rPr>
        <w:rFonts w:ascii="Times New Roman" w:hAnsi="Times New Roman" w:cs="Times New Roman"/>
        <w:b/>
        <w:i/>
        <w:color w:val="000000"/>
        <w:sz w:val="18"/>
        <w:szCs w:val="18"/>
      </w:rPr>
      <w:tab/>
    </w:r>
    <w:r w:rsidR="00885640">
      <w:rPr>
        <w:rFonts w:ascii="Times New Roman" w:hAnsi="Times New Roman" w:cs="Times New Roman"/>
        <w:b/>
        <w:i/>
        <w:color w:val="000000"/>
        <w:sz w:val="18"/>
        <w:szCs w:val="18"/>
      </w:rPr>
      <w:tab/>
    </w:r>
    <w:r w:rsidR="005527D9">
      <w:rPr>
        <w:rFonts w:ascii="Times New Roman" w:hAnsi="Times New Roman" w:cs="Times New Roman"/>
        <w:b/>
        <w:i/>
        <w:color w:val="000000"/>
        <w:sz w:val="18"/>
        <w:szCs w:val="18"/>
      </w:rPr>
      <w:t xml:space="preserve"> </w:t>
    </w:r>
    <w:r w:rsidR="005527D9" w:rsidRPr="004845BE">
      <w:rPr>
        <w:rFonts w:ascii="Times New Roman" w:hAnsi="Times New Roman" w:cs="Times New Roman"/>
        <w:b/>
        <w:i/>
        <w:color w:val="000000"/>
        <w:sz w:val="18"/>
        <w:szCs w:val="18"/>
      </w:rPr>
      <w:t xml:space="preserve"> </w:t>
    </w:r>
    <w:r w:rsidR="005527D9" w:rsidRPr="004845BE">
      <w:rPr>
        <w:rFonts w:ascii="Times New Roman" w:hAnsi="Times New Roman" w:cs="Times New Roman"/>
        <w:i/>
        <w:color w:val="000000"/>
        <w:sz w:val="18"/>
        <w:szCs w:val="18"/>
      </w:rPr>
      <w:t xml:space="preserve"> </w:t>
    </w:r>
    <w:r w:rsidR="005527D9">
      <w:rPr>
        <w:rFonts w:ascii="Times New Roman" w:hAnsi="Times New Roman" w:cs="Times New Roman"/>
        <w:i/>
        <w:color w:val="000000"/>
        <w:sz w:val="18"/>
        <w:szCs w:val="18"/>
      </w:rPr>
      <w:tab/>
    </w:r>
    <w:r w:rsidR="005527D9" w:rsidRPr="004845BE">
      <w:rPr>
        <w:rFonts w:ascii="Times New Roman" w:hAnsi="Times New Roman" w:cs="Times New Roman"/>
        <w:color w:val="000000"/>
        <w:sz w:val="18"/>
        <w:szCs w:val="18"/>
      </w:rPr>
      <w:fldChar w:fldCharType="begin"/>
    </w:r>
    <w:r w:rsidR="005527D9" w:rsidRPr="004845BE">
      <w:rPr>
        <w:rFonts w:ascii="Times New Roman" w:hAnsi="Times New Roman" w:cs="Times New Roman"/>
        <w:color w:val="000000"/>
        <w:sz w:val="18"/>
        <w:szCs w:val="18"/>
      </w:rPr>
      <w:instrText>PAGE</w:instrText>
    </w:r>
    <w:r w:rsidR="005527D9" w:rsidRPr="004845BE">
      <w:rPr>
        <w:rFonts w:ascii="Times New Roman" w:hAnsi="Times New Roman" w:cs="Times New Roman"/>
        <w:color w:val="000000"/>
        <w:sz w:val="18"/>
        <w:szCs w:val="18"/>
      </w:rPr>
      <w:fldChar w:fldCharType="separate"/>
    </w:r>
    <w:r w:rsidR="00D45797">
      <w:rPr>
        <w:rFonts w:ascii="Times New Roman" w:hAnsi="Times New Roman" w:cs="Times New Roman"/>
        <w:noProof/>
        <w:color w:val="000000"/>
        <w:sz w:val="18"/>
        <w:szCs w:val="18"/>
      </w:rPr>
      <w:t>3287</w:t>
    </w:r>
    <w:r w:rsidR="005527D9" w:rsidRPr="004845BE">
      <w:rPr>
        <w:rFonts w:ascii="Times New Roman" w:hAnsi="Times New Roman" w:cs="Times New Roman"/>
        <w:color w:val="000000"/>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76D88" w14:textId="77777777" w:rsidR="005527D9" w:rsidRPr="004E5304" w:rsidRDefault="005527D9" w:rsidP="004845BE">
    <w:pPr>
      <w:pBdr>
        <w:top w:val="nil"/>
        <w:left w:val="nil"/>
        <w:bottom w:val="nil"/>
        <w:right w:val="nil"/>
        <w:between w:val="nil"/>
      </w:pBdr>
      <w:tabs>
        <w:tab w:val="left" w:pos="709"/>
      </w:tabs>
      <w:ind w:hanging="2"/>
      <w:rPr>
        <w:rFonts w:ascii="Times New Roman" w:hAnsi="Times New Roman" w:cs="Times New Roman"/>
        <w:b/>
        <w:color w:val="000000"/>
        <w:sz w:val="18"/>
        <w:szCs w:val="18"/>
      </w:rPr>
    </w:pPr>
    <w:r w:rsidRPr="004E5304">
      <w:rPr>
        <w:rFonts w:ascii="Times New Roman" w:hAnsi="Times New Roman" w:cs="Times New Roman"/>
        <w:b/>
        <w:color w:val="000000"/>
        <w:sz w:val="18"/>
        <w:szCs w:val="18"/>
      </w:rPr>
      <w:t>Jurnal Pustaka Cendekia Hukum dan Ilmu Sosial</w:t>
    </w:r>
  </w:p>
  <w:p w14:paraId="65F1D0DF" w14:textId="6A7432AD" w:rsidR="005527D9" w:rsidRPr="004E5304" w:rsidRDefault="005527D9" w:rsidP="004845BE">
    <w:pPr>
      <w:pBdr>
        <w:top w:val="nil"/>
        <w:left w:val="nil"/>
        <w:bottom w:val="nil"/>
        <w:right w:val="nil"/>
        <w:between w:val="nil"/>
      </w:pBdr>
      <w:tabs>
        <w:tab w:val="left" w:pos="709"/>
      </w:tabs>
      <w:ind w:hanging="2"/>
      <w:rPr>
        <w:rFonts w:ascii="Times New Roman" w:hAnsi="Times New Roman" w:cs="Times New Roman"/>
        <w:color w:val="000000"/>
        <w:sz w:val="18"/>
        <w:szCs w:val="18"/>
      </w:rPr>
    </w:pPr>
    <w:r>
      <w:rPr>
        <w:rFonts w:ascii="Times New Roman" w:hAnsi="Times New Roman" w:cs="Times New Roman"/>
        <w:color w:val="000000"/>
        <w:sz w:val="18"/>
        <w:szCs w:val="18"/>
      </w:rPr>
      <w:t xml:space="preserve">Volume 4, No. </w:t>
    </w:r>
    <w:r w:rsidR="002B1832">
      <w:rPr>
        <w:rFonts w:ascii="Times New Roman" w:hAnsi="Times New Roman" w:cs="Times New Roman"/>
        <w:color w:val="000000"/>
        <w:sz w:val="18"/>
        <w:szCs w:val="18"/>
      </w:rPr>
      <w:t>2</w:t>
    </w:r>
    <w:r w:rsidRPr="004E5304">
      <w:rPr>
        <w:rFonts w:ascii="Times New Roman" w:hAnsi="Times New Roman" w:cs="Times New Roman"/>
        <w:color w:val="000000"/>
        <w:sz w:val="18"/>
        <w:szCs w:val="18"/>
      </w:rPr>
      <w:t xml:space="preserve">, </w:t>
    </w:r>
    <w:r w:rsidR="002B1832">
      <w:rPr>
        <w:rFonts w:ascii="Times New Roman" w:hAnsi="Times New Roman" w:cs="Times New Roman"/>
        <w:color w:val="000000"/>
        <w:sz w:val="18"/>
        <w:szCs w:val="18"/>
      </w:rPr>
      <w:t>June-September</w:t>
    </w:r>
    <w:r>
      <w:rPr>
        <w:rFonts w:ascii="Times New Roman" w:hAnsi="Times New Roman" w:cs="Times New Roman"/>
        <w:color w:val="000000"/>
        <w:sz w:val="18"/>
        <w:szCs w:val="18"/>
      </w:rPr>
      <w:t xml:space="preserve"> 2026</w:t>
    </w:r>
    <w:r w:rsidRPr="004E5304">
      <w:rPr>
        <w:rFonts w:ascii="Times New Roman" w:hAnsi="Times New Roman" w:cs="Times New Roman"/>
        <w:color w:val="000000"/>
        <w:sz w:val="18"/>
        <w:szCs w:val="18"/>
      </w:rPr>
      <w:t xml:space="preserve">, pp. </w:t>
    </w:r>
    <w:r w:rsidR="002202DB" w:rsidRPr="002202DB">
      <w:rPr>
        <w:rFonts w:ascii="Times New Roman" w:hAnsi="Times New Roman" w:cs="Times New Roman"/>
        <w:color w:val="000000"/>
        <w:sz w:val="18"/>
        <w:szCs w:val="18"/>
      </w:rPr>
      <w:t>3273</w:t>
    </w:r>
    <w:r w:rsidR="002202DB">
      <w:rPr>
        <w:rFonts w:ascii="Times New Roman" w:hAnsi="Times New Roman" w:cs="Times New Roman"/>
        <w:color w:val="000000"/>
        <w:sz w:val="18"/>
        <w:szCs w:val="18"/>
      </w:rPr>
      <w:t>-3287</w:t>
    </w:r>
  </w:p>
  <w:p w14:paraId="08E6EC62" w14:textId="77777777" w:rsidR="005527D9" w:rsidRPr="004E5304" w:rsidRDefault="005527D9" w:rsidP="004845BE">
    <w:pPr>
      <w:pBdr>
        <w:top w:val="nil"/>
        <w:left w:val="nil"/>
        <w:bottom w:val="nil"/>
        <w:right w:val="nil"/>
        <w:between w:val="nil"/>
      </w:pBdr>
      <w:tabs>
        <w:tab w:val="left" w:pos="709"/>
        <w:tab w:val="center" w:pos="4512"/>
      </w:tabs>
      <w:ind w:hanging="2"/>
      <w:rPr>
        <w:rFonts w:ascii="Times New Roman" w:hAnsi="Times New Roman" w:cs="Times New Roman"/>
        <w:color w:val="000000"/>
        <w:sz w:val="18"/>
        <w:szCs w:val="18"/>
      </w:rPr>
    </w:pPr>
    <w:r w:rsidRPr="004E5304">
      <w:rPr>
        <w:rFonts w:ascii="Times New Roman" w:hAnsi="Times New Roman" w:cs="Times New Roman"/>
        <w:color w:val="000000"/>
        <w:sz w:val="18"/>
        <w:szCs w:val="18"/>
      </w:rPr>
      <w:t xml:space="preserve">E-ISSN: </w:t>
    </w:r>
    <w:r w:rsidRPr="004E5304">
      <w:rPr>
        <w:rFonts w:ascii="Times New Roman" w:hAnsi="Times New Roman" w:cs="Times New Roman"/>
        <w:sz w:val="18"/>
        <w:szCs w:val="18"/>
      </w:rPr>
      <w:t>2987-4475</w:t>
    </w:r>
    <w:r w:rsidRPr="004E5304">
      <w:rPr>
        <w:rFonts w:ascii="Times New Roman" w:hAnsi="Times New Roman" w:cs="Times New Roman"/>
        <w:sz w:val="18"/>
        <w:szCs w:val="18"/>
      </w:rPr>
      <w:tab/>
    </w:r>
  </w:p>
  <w:p w14:paraId="1E071843" w14:textId="77777777" w:rsidR="005527D9" w:rsidRPr="004E5304" w:rsidRDefault="005527D9" w:rsidP="004845BE">
    <w:pPr>
      <w:pBdr>
        <w:top w:val="nil"/>
        <w:left w:val="nil"/>
        <w:bottom w:val="nil"/>
        <w:right w:val="nil"/>
        <w:between w:val="nil"/>
      </w:pBdr>
      <w:ind w:hanging="2"/>
      <w:rPr>
        <w:rFonts w:ascii="Times New Roman" w:hAnsi="Times New Roman" w:cs="Times New Roman"/>
        <w:color w:val="000000"/>
        <w:sz w:val="18"/>
        <w:szCs w:val="18"/>
      </w:rPr>
    </w:pPr>
    <w:r w:rsidRPr="004E5304">
      <w:rPr>
        <w:rFonts w:ascii="Times New Roman" w:hAnsi="Times New Roman" w:cs="Times New Roman"/>
        <w:color w:val="000000"/>
        <w:sz w:val="18"/>
        <w:szCs w:val="18"/>
      </w:rPr>
      <w:t>https://pchukumsosial.org/index.php/pchs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65B6750C"/>
    <w:lvl w:ilvl="0">
      <w:start w:val="1"/>
      <w:numFmt w:val="decimal"/>
      <w:pStyle w:val="ListNumber"/>
      <w:lvlText w:val="%1."/>
      <w:lvlJc w:val="left"/>
      <w:pPr>
        <w:tabs>
          <w:tab w:val="num" w:pos="360"/>
        </w:tabs>
        <w:ind w:left="360" w:hanging="360"/>
      </w:pPr>
    </w:lvl>
  </w:abstractNum>
  <w:abstractNum w:abstractNumId="1">
    <w:nsid w:val="00E5014A"/>
    <w:multiLevelType w:val="hybridMultilevel"/>
    <w:tmpl w:val="3F088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084E84"/>
    <w:multiLevelType w:val="hybridMultilevel"/>
    <w:tmpl w:val="C742D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317556"/>
    <w:multiLevelType w:val="hybridMultilevel"/>
    <w:tmpl w:val="9782CDB6"/>
    <w:lvl w:ilvl="0" w:tplc="84A4EB96">
      <w:start w:val="1"/>
      <w:numFmt w:val="lowerLetter"/>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
    <w:nsid w:val="06DF3C84"/>
    <w:multiLevelType w:val="hybridMultilevel"/>
    <w:tmpl w:val="BA04C09E"/>
    <w:lvl w:ilvl="0" w:tplc="E10E9794">
      <w:start w:val="1"/>
      <w:numFmt w:val="lowerLetter"/>
      <w:lvlText w:val="%1."/>
      <w:lvlJc w:val="left"/>
      <w:pPr>
        <w:ind w:left="9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0CABF40">
      <w:numFmt w:val="bullet"/>
      <w:lvlText w:val="•"/>
      <w:lvlJc w:val="left"/>
      <w:pPr>
        <w:ind w:left="1706" w:hanging="360"/>
      </w:pPr>
      <w:rPr>
        <w:rFonts w:hint="default"/>
        <w:lang w:val="id" w:eastAsia="en-US" w:bidi="ar-SA"/>
      </w:rPr>
    </w:lvl>
    <w:lvl w:ilvl="2" w:tplc="7E32CFCA">
      <w:numFmt w:val="bullet"/>
      <w:lvlText w:val="•"/>
      <w:lvlJc w:val="left"/>
      <w:pPr>
        <w:ind w:left="2492" w:hanging="360"/>
      </w:pPr>
      <w:rPr>
        <w:rFonts w:hint="default"/>
        <w:lang w:val="id" w:eastAsia="en-US" w:bidi="ar-SA"/>
      </w:rPr>
    </w:lvl>
    <w:lvl w:ilvl="3" w:tplc="17B4CF8A">
      <w:numFmt w:val="bullet"/>
      <w:lvlText w:val="•"/>
      <w:lvlJc w:val="left"/>
      <w:pPr>
        <w:ind w:left="3278" w:hanging="360"/>
      </w:pPr>
      <w:rPr>
        <w:rFonts w:hint="default"/>
        <w:lang w:val="id" w:eastAsia="en-US" w:bidi="ar-SA"/>
      </w:rPr>
    </w:lvl>
    <w:lvl w:ilvl="4" w:tplc="92543FE2">
      <w:numFmt w:val="bullet"/>
      <w:lvlText w:val="•"/>
      <w:lvlJc w:val="left"/>
      <w:pPr>
        <w:ind w:left="4065" w:hanging="360"/>
      </w:pPr>
      <w:rPr>
        <w:rFonts w:hint="default"/>
        <w:lang w:val="id" w:eastAsia="en-US" w:bidi="ar-SA"/>
      </w:rPr>
    </w:lvl>
    <w:lvl w:ilvl="5" w:tplc="1AB271CE">
      <w:numFmt w:val="bullet"/>
      <w:lvlText w:val="•"/>
      <w:lvlJc w:val="left"/>
      <w:pPr>
        <w:ind w:left="4851" w:hanging="360"/>
      </w:pPr>
      <w:rPr>
        <w:rFonts w:hint="default"/>
        <w:lang w:val="id" w:eastAsia="en-US" w:bidi="ar-SA"/>
      </w:rPr>
    </w:lvl>
    <w:lvl w:ilvl="6" w:tplc="4948B19C">
      <w:numFmt w:val="bullet"/>
      <w:lvlText w:val="•"/>
      <w:lvlJc w:val="left"/>
      <w:pPr>
        <w:ind w:left="5637" w:hanging="360"/>
      </w:pPr>
      <w:rPr>
        <w:rFonts w:hint="default"/>
        <w:lang w:val="id" w:eastAsia="en-US" w:bidi="ar-SA"/>
      </w:rPr>
    </w:lvl>
    <w:lvl w:ilvl="7" w:tplc="30B27B94">
      <w:numFmt w:val="bullet"/>
      <w:lvlText w:val="•"/>
      <w:lvlJc w:val="left"/>
      <w:pPr>
        <w:ind w:left="6424" w:hanging="360"/>
      </w:pPr>
      <w:rPr>
        <w:rFonts w:hint="default"/>
        <w:lang w:val="id" w:eastAsia="en-US" w:bidi="ar-SA"/>
      </w:rPr>
    </w:lvl>
    <w:lvl w:ilvl="8" w:tplc="4FD86F32">
      <w:numFmt w:val="bullet"/>
      <w:lvlText w:val="•"/>
      <w:lvlJc w:val="left"/>
      <w:pPr>
        <w:ind w:left="7210" w:hanging="360"/>
      </w:pPr>
      <w:rPr>
        <w:rFonts w:hint="default"/>
        <w:lang w:val="id" w:eastAsia="en-US" w:bidi="ar-SA"/>
      </w:rPr>
    </w:lvl>
  </w:abstractNum>
  <w:abstractNum w:abstractNumId="5">
    <w:nsid w:val="0F351812"/>
    <w:multiLevelType w:val="hybridMultilevel"/>
    <w:tmpl w:val="46B28784"/>
    <w:lvl w:ilvl="0" w:tplc="38EAD97C">
      <w:start w:val="1"/>
      <w:numFmt w:val="lowerLetter"/>
      <w:lvlText w:val="%1)"/>
      <w:lvlJc w:val="left"/>
      <w:pPr>
        <w:ind w:left="826"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117C05AC">
      <w:start w:val="1"/>
      <w:numFmt w:val="decimal"/>
      <w:lvlText w:val="%2)"/>
      <w:lvlJc w:val="left"/>
      <w:pPr>
        <w:ind w:left="1109"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tplc="00F4DAA4">
      <w:numFmt w:val="bullet"/>
      <w:lvlText w:val="•"/>
      <w:lvlJc w:val="left"/>
      <w:pPr>
        <w:ind w:left="1977" w:hanging="284"/>
      </w:pPr>
      <w:rPr>
        <w:rFonts w:hint="default"/>
        <w:lang w:val="id" w:eastAsia="en-US" w:bidi="ar-SA"/>
      </w:rPr>
    </w:lvl>
    <w:lvl w:ilvl="3" w:tplc="3E8004A4">
      <w:numFmt w:val="bullet"/>
      <w:lvlText w:val="•"/>
      <w:lvlJc w:val="left"/>
      <w:pPr>
        <w:ind w:left="2855" w:hanging="284"/>
      </w:pPr>
      <w:rPr>
        <w:rFonts w:hint="default"/>
        <w:lang w:val="id" w:eastAsia="en-US" w:bidi="ar-SA"/>
      </w:rPr>
    </w:lvl>
    <w:lvl w:ilvl="4" w:tplc="80001FDA">
      <w:numFmt w:val="bullet"/>
      <w:lvlText w:val="•"/>
      <w:lvlJc w:val="left"/>
      <w:pPr>
        <w:ind w:left="3733" w:hanging="284"/>
      </w:pPr>
      <w:rPr>
        <w:rFonts w:hint="default"/>
        <w:lang w:val="id" w:eastAsia="en-US" w:bidi="ar-SA"/>
      </w:rPr>
    </w:lvl>
    <w:lvl w:ilvl="5" w:tplc="682A8AD2">
      <w:numFmt w:val="bullet"/>
      <w:lvlText w:val="•"/>
      <w:lvlJc w:val="left"/>
      <w:pPr>
        <w:ind w:left="4611" w:hanging="284"/>
      </w:pPr>
      <w:rPr>
        <w:rFonts w:hint="default"/>
        <w:lang w:val="id" w:eastAsia="en-US" w:bidi="ar-SA"/>
      </w:rPr>
    </w:lvl>
    <w:lvl w:ilvl="6" w:tplc="3D3EDD5C">
      <w:numFmt w:val="bullet"/>
      <w:lvlText w:val="•"/>
      <w:lvlJc w:val="left"/>
      <w:pPr>
        <w:ind w:left="5488" w:hanging="284"/>
      </w:pPr>
      <w:rPr>
        <w:rFonts w:hint="default"/>
        <w:lang w:val="id" w:eastAsia="en-US" w:bidi="ar-SA"/>
      </w:rPr>
    </w:lvl>
    <w:lvl w:ilvl="7" w:tplc="8E0CDC30">
      <w:numFmt w:val="bullet"/>
      <w:lvlText w:val="•"/>
      <w:lvlJc w:val="left"/>
      <w:pPr>
        <w:ind w:left="6366" w:hanging="284"/>
      </w:pPr>
      <w:rPr>
        <w:rFonts w:hint="default"/>
        <w:lang w:val="id" w:eastAsia="en-US" w:bidi="ar-SA"/>
      </w:rPr>
    </w:lvl>
    <w:lvl w:ilvl="8" w:tplc="9CF87080">
      <w:numFmt w:val="bullet"/>
      <w:lvlText w:val="•"/>
      <w:lvlJc w:val="left"/>
      <w:pPr>
        <w:ind w:left="7244" w:hanging="284"/>
      </w:pPr>
      <w:rPr>
        <w:rFonts w:hint="default"/>
        <w:lang w:val="id" w:eastAsia="en-US" w:bidi="ar-SA"/>
      </w:rPr>
    </w:lvl>
  </w:abstractNum>
  <w:abstractNum w:abstractNumId="6">
    <w:nsid w:val="10E37A6C"/>
    <w:multiLevelType w:val="hybridMultilevel"/>
    <w:tmpl w:val="0406CAD2"/>
    <w:lvl w:ilvl="0" w:tplc="38090019">
      <w:start w:val="1"/>
      <w:numFmt w:val="lowerLetter"/>
      <w:lvlText w:val="%1."/>
      <w:lvlJc w:val="left"/>
      <w:pPr>
        <w:ind w:left="1287" w:hanging="360"/>
      </w:pPr>
      <w:rPr>
        <w:rFonts w:hint="default"/>
        <w:b w:val="0"/>
        <w:bCs w:val="0"/>
        <w:i w:val="0"/>
        <w:iCs w:val="0"/>
        <w:spacing w:val="-12"/>
        <w:w w:val="100"/>
        <w:sz w:val="24"/>
        <w:szCs w:val="24"/>
        <w:lang w:val="id" w:eastAsia="en-US" w:bidi="ar-SA"/>
      </w:rPr>
    </w:lvl>
    <w:lvl w:ilvl="1" w:tplc="FFFFFFFF">
      <w:start w:val="1"/>
      <w:numFmt w:val="lowerLetter"/>
      <w:lvlText w:val="%2."/>
      <w:lvlJc w:val="left"/>
      <w:pPr>
        <w:ind w:left="128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FFFFFFFF">
      <w:start w:val="1"/>
      <w:numFmt w:val="lowerLetter"/>
      <w:lvlText w:val="%3."/>
      <w:lvlJc w:val="left"/>
      <w:pPr>
        <w:ind w:left="2851" w:hanging="360"/>
      </w:pPr>
    </w:lvl>
    <w:lvl w:ilvl="3" w:tplc="FFFFFFFF">
      <w:numFmt w:val="bullet"/>
      <w:lvlText w:val="•"/>
      <w:lvlJc w:val="left"/>
      <w:pPr>
        <w:ind w:left="3637" w:hanging="360"/>
      </w:pPr>
      <w:rPr>
        <w:rFonts w:hint="default"/>
        <w:lang w:val="id" w:eastAsia="en-US" w:bidi="ar-SA"/>
      </w:rPr>
    </w:lvl>
    <w:lvl w:ilvl="4" w:tplc="FFFFFFFF">
      <w:numFmt w:val="bullet"/>
      <w:lvlText w:val="•"/>
      <w:lvlJc w:val="left"/>
      <w:pPr>
        <w:ind w:left="4424" w:hanging="360"/>
      </w:pPr>
      <w:rPr>
        <w:rFonts w:hint="default"/>
        <w:lang w:val="id" w:eastAsia="en-US" w:bidi="ar-SA"/>
      </w:rPr>
    </w:lvl>
    <w:lvl w:ilvl="5" w:tplc="FFFFFFFF">
      <w:numFmt w:val="bullet"/>
      <w:lvlText w:val="•"/>
      <w:lvlJc w:val="left"/>
      <w:pPr>
        <w:ind w:left="5210" w:hanging="360"/>
      </w:pPr>
      <w:rPr>
        <w:rFonts w:hint="default"/>
        <w:lang w:val="id" w:eastAsia="en-US" w:bidi="ar-SA"/>
      </w:rPr>
    </w:lvl>
    <w:lvl w:ilvl="6" w:tplc="FFFFFFFF">
      <w:numFmt w:val="bullet"/>
      <w:lvlText w:val="•"/>
      <w:lvlJc w:val="left"/>
      <w:pPr>
        <w:ind w:left="5996" w:hanging="360"/>
      </w:pPr>
      <w:rPr>
        <w:rFonts w:hint="default"/>
        <w:lang w:val="id" w:eastAsia="en-US" w:bidi="ar-SA"/>
      </w:rPr>
    </w:lvl>
    <w:lvl w:ilvl="7" w:tplc="FFFFFFFF">
      <w:numFmt w:val="bullet"/>
      <w:lvlText w:val="•"/>
      <w:lvlJc w:val="left"/>
      <w:pPr>
        <w:ind w:left="6783" w:hanging="360"/>
      </w:pPr>
      <w:rPr>
        <w:rFonts w:hint="default"/>
        <w:lang w:val="id" w:eastAsia="en-US" w:bidi="ar-SA"/>
      </w:rPr>
    </w:lvl>
    <w:lvl w:ilvl="8" w:tplc="FFFFFFFF">
      <w:numFmt w:val="bullet"/>
      <w:lvlText w:val="•"/>
      <w:lvlJc w:val="left"/>
      <w:pPr>
        <w:ind w:left="7569" w:hanging="360"/>
      </w:pPr>
      <w:rPr>
        <w:rFonts w:hint="default"/>
        <w:lang w:val="id" w:eastAsia="en-US" w:bidi="ar-SA"/>
      </w:rPr>
    </w:lvl>
  </w:abstractNum>
  <w:abstractNum w:abstractNumId="7">
    <w:nsid w:val="12D1107E"/>
    <w:multiLevelType w:val="hybridMultilevel"/>
    <w:tmpl w:val="D5442D16"/>
    <w:lvl w:ilvl="0" w:tplc="327C35DE">
      <w:start w:val="1"/>
      <w:numFmt w:val="decimal"/>
      <w:lvlText w:val="%1."/>
      <w:lvlJc w:val="left"/>
      <w:pPr>
        <w:ind w:left="928" w:hanging="360"/>
      </w:pPr>
      <w:rPr>
        <w:rFonts w:ascii="Times New Roman" w:eastAsia="Times New Roman" w:hAnsi="Times New Roman" w:cs="Times New Roman" w:hint="default"/>
        <w:b w:val="0"/>
        <w:bCs w:val="0"/>
        <w:i w:val="0"/>
        <w:iCs w:val="0"/>
        <w:spacing w:val="-12"/>
        <w:w w:val="100"/>
        <w:sz w:val="24"/>
        <w:szCs w:val="24"/>
        <w:lang w:val="id" w:eastAsia="en-US" w:bidi="ar-SA"/>
      </w:rPr>
    </w:lvl>
    <w:lvl w:ilvl="1" w:tplc="F8FC9ECE">
      <w:start w:val="1"/>
      <w:numFmt w:val="lowerLetter"/>
      <w:lvlText w:val="%2."/>
      <w:lvlJc w:val="left"/>
      <w:pPr>
        <w:ind w:left="9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EB06DFA4">
      <w:numFmt w:val="bullet"/>
      <w:lvlText w:val="•"/>
      <w:lvlJc w:val="left"/>
      <w:pPr>
        <w:ind w:left="2492" w:hanging="360"/>
      </w:pPr>
      <w:rPr>
        <w:rFonts w:hint="default"/>
        <w:lang w:val="id" w:eastAsia="en-US" w:bidi="ar-SA"/>
      </w:rPr>
    </w:lvl>
    <w:lvl w:ilvl="3" w:tplc="3FC83922">
      <w:numFmt w:val="bullet"/>
      <w:lvlText w:val="•"/>
      <w:lvlJc w:val="left"/>
      <w:pPr>
        <w:ind w:left="3278" w:hanging="360"/>
      </w:pPr>
      <w:rPr>
        <w:rFonts w:hint="default"/>
        <w:lang w:val="id" w:eastAsia="en-US" w:bidi="ar-SA"/>
      </w:rPr>
    </w:lvl>
    <w:lvl w:ilvl="4" w:tplc="5AC8113C">
      <w:numFmt w:val="bullet"/>
      <w:lvlText w:val="•"/>
      <w:lvlJc w:val="left"/>
      <w:pPr>
        <w:ind w:left="4065" w:hanging="360"/>
      </w:pPr>
      <w:rPr>
        <w:rFonts w:hint="default"/>
        <w:lang w:val="id" w:eastAsia="en-US" w:bidi="ar-SA"/>
      </w:rPr>
    </w:lvl>
    <w:lvl w:ilvl="5" w:tplc="AB7061B0">
      <w:numFmt w:val="bullet"/>
      <w:lvlText w:val="•"/>
      <w:lvlJc w:val="left"/>
      <w:pPr>
        <w:ind w:left="4851" w:hanging="360"/>
      </w:pPr>
      <w:rPr>
        <w:rFonts w:hint="default"/>
        <w:lang w:val="id" w:eastAsia="en-US" w:bidi="ar-SA"/>
      </w:rPr>
    </w:lvl>
    <w:lvl w:ilvl="6" w:tplc="0BBEBE62">
      <w:numFmt w:val="bullet"/>
      <w:lvlText w:val="•"/>
      <w:lvlJc w:val="left"/>
      <w:pPr>
        <w:ind w:left="5637" w:hanging="360"/>
      </w:pPr>
      <w:rPr>
        <w:rFonts w:hint="default"/>
        <w:lang w:val="id" w:eastAsia="en-US" w:bidi="ar-SA"/>
      </w:rPr>
    </w:lvl>
    <w:lvl w:ilvl="7" w:tplc="3FF06A2C">
      <w:numFmt w:val="bullet"/>
      <w:lvlText w:val="•"/>
      <w:lvlJc w:val="left"/>
      <w:pPr>
        <w:ind w:left="6424" w:hanging="360"/>
      </w:pPr>
      <w:rPr>
        <w:rFonts w:hint="default"/>
        <w:lang w:val="id" w:eastAsia="en-US" w:bidi="ar-SA"/>
      </w:rPr>
    </w:lvl>
    <w:lvl w:ilvl="8" w:tplc="8C422A7C">
      <w:numFmt w:val="bullet"/>
      <w:lvlText w:val="•"/>
      <w:lvlJc w:val="left"/>
      <w:pPr>
        <w:ind w:left="7210" w:hanging="360"/>
      </w:pPr>
      <w:rPr>
        <w:rFonts w:hint="default"/>
        <w:lang w:val="id" w:eastAsia="en-US" w:bidi="ar-SA"/>
      </w:rPr>
    </w:lvl>
  </w:abstractNum>
  <w:abstractNum w:abstractNumId="8">
    <w:nsid w:val="16CB233D"/>
    <w:multiLevelType w:val="hybridMultilevel"/>
    <w:tmpl w:val="465CA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871667"/>
    <w:multiLevelType w:val="multilevel"/>
    <w:tmpl w:val="A82C3F5E"/>
    <w:lvl w:ilvl="0">
      <w:start w:val="1"/>
      <w:numFmt w:val="decimal"/>
      <w:lvlText w:val="%1."/>
      <w:lvlJc w:val="left"/>
      <w:pPr>
        <w:ind w:left="5039" w:hanging="360"/>
      </w:pPr>
      <w:rPr>
        <w:rFonts w:hint="default"/>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479" w:hanging="1800"/>
      </w:pPr>
      <w:rPr>
        <w:rFonts w:hint="default"/>
      </w:rPr>
    </w:lvl>
  </w:abstractNum>
  <w:abstractNum w:abstractNumId="10">
    <w:nsid w:val="19D65B4B"/>
    <w:multiLevelType w:val="multilevel"/>
    <w:tmpl w:val="9DD6970A"/>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BBA68B4"/>
    <w:multiLevelType w:val="hybridMultilevel"/>
    <w:tmpl w:val="0276DF3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1C4F3911"/>
    <w:multiLevelType w:val="hybridMultilevel"/>
    <w:tmpl w:val="DAD01F40"/>
    <w:lvl w:ilvl="0" w:tplc="63E49B18">
      <w:start w:val="1"/>
      <w:numFmt w:val="lowerLetter"/>
      <w:lvlText w:val="%1."/>
      <w:lvlJc w:val="left"/>
      <w:pPr>
        <w:ind w:left="928" w:hanging="360"/>
      </w:pPr>
      <w:rPr>
        <w:rFonts w:ascii="Times New Roman" w:eastAsia="Cambria" w:hAnsi="Times New Roman" w:cs="Times New Roman" w:hint="default"/>
        <w:b w:val="0"/>
        <w:bCs w:val="0"/>
        <w:i w:val="0"/>
        <w:iCs w:val="0"/>
        <w:spacing w:val="0"/>
        <w:w w:val="100"/>
        <w:sz w:val="22"/>
        <w:szCs w:val="24"/>
        <w:lang w:val="id" w:eastAsia="en-US" w:bidi="ar-SA"/>
      </w:rPr>
    </w:lvl>
    <w:lvl w:ilvl="1" w:tplc="F8FC9ECE">
      <w:start w:val="1"/>
      <w:numFmt w:val="lowerLetter"/>
      <w:lvlText w:val="%2."/>
      <w:lvlJc w:val="left"/>
      <w:pPr>
        <w:ind w:left="9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EB06DFA4">
      <w:numFmt w:val="bullet"/>
      <w:lvlText w:val="•"/>
      <w:lvlJc w:val="left"/>
      <w:pPr>
        <w:ind w:left="2492" w:hanging="360"/>
      </w:pPr>
      <w:rPr>
        <w:rFonts w:hint="default"/>
        <w:lang w:val="id" w:eastAsia="en-US" w:bidi="ar-SA"/>
      </w:rPr>
    </w:lvl>
    <w:lvl w:ilvl="3" w:tplc="3FC83922">
      <w:numFmt w:val="bullet"/>
      <w:lvlText w:val="•"/>
      <w:lvlJc w:val="left"/>
      <w:pPr>
        <w:ind w:left="3278" w:hanging="360"/>
      </w:pPr>
      <w:rPr>
        <w:rFonts w:hint="default"/>
        <w:lang w:val="id" w:eastAsia="en-US" w:bidi="ar-SA"/>
      </w:rPr>
    </w:lvl>
    <w:lvl w:ilvl="4" w:tplc="5AC8113C">
      <w:numFmt w:val="bullet"/>
      <w:lvlText w:val="•"/>
      <w:lvlJc w:val="left"/>
      <w:pPr>
        <w:ind w:left="4065" w:hanging="360"/>
      </w:pPr>
      <w:rPr>
        <w:rFonts w:hint="default"/>
        <w:lang w:val="id" w:eastAsia="en-US" w:bidi="ar-SA"/>
      </w:rPr>
    </w:lvl>
    <w:lvl w:ilvl="5" w:tplc="AB7061B0">
      <w:numFmt w:val="bullet"/>
      <w:lvlText w:val="•"/>
      <w:lvlJc w:val="left"/>
      <w:pPr>
        <w:ind w:left="4851" w:hanging="360"/>
      </w:pPr>
      <w:rPr>
        <w:rFonts w:hint="default"/>
        <w:lang w:val="id" w:eastAsia="en-US" w:bidi="ar-SA"/>
      </w:rPr>
    </w:lvl>
    <w:lvl w:ilvl="6" w:tplc="0BBEBE62">
      <w:numFmt w:val="bullet"/>
      <w:lvlText w:val="•"/>
      <w:lvlJc w:val="left"/>
      <w:pPr>
        <w:ind w:left="5637" w:hanging="360"/>
      </w:pPr>
      <w:rPr>
        <w:rFonts w:hint="default"/>
        <w:lang w:val="id" w:eastAsia="en-US" w:bidi="ar-SA"/>
      </w:rPr>
    </w:lvl>
    <w:lvl w:ilvl="7" w:tplc="3FF06A2C">
      <w:numFmt w:val="bullet"/>
      <w:lvlText w:val="•"/>
      <w:lvlJc w:val="left"/>
      <w:pPr>
        <w:ind w:left="6424" w:hanging="360"/>
      </w:pPr>
      <w:rPr>
        <w:rFonts w:hint="default"/>
        <w:lang w:val="id" w:eastAsia="en-US" w:bidi="ar-SA"/>
      </w:rPr>
    </w:lvl>
    <w:lvl w:ilvl="8" w:tplc="8C422A7C">
      <w:numFmt w:val="bullet"/>
      <w:lvlText w:val="•"/>
      <w:lvlJc w:val="left"/>
      <w:pPr>
        <w:ind w:left="7210" w:hanging="360"/>
      </w:pPr>
      <w:rPr>
        <w:rFonts w:hint="default"/>
        <w:lang w:val="id" w:eastAsia="en-US" w:bidi="ar-SA"/>
      </w:rPr>
    </w:lvl>
  </w:abstractNum>
  <w:abstractNum w:abstractNumId="13">
    <w:nsid w:val="21C23FCC"/>
    <w:multiLevelType w:val="hybridMultilevel"/>
    <w:tmpl w:val="8B84CDF2"/>
    <w:lvl w:ilvl="0" w:tplc="856032C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nsid w:val="224C6CAB"/>
    <w:multiLevelType w:val="hybridMultilevel"/>
    <w:tmpl w:val="7C3A4C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3F515CD"/>
    <w:multiLevelType w:val="hybridMultilevel"/>
    <w:tmpl w:val="78A6FF7E"/>
    <w:lvl w:ilvl="0" w:tplc="A316078A">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nsid w:val="27301BB7"/>
    <w:multiLevelType w:val="hybridMultilevel"/>
    <w:tmpl w:val="E29C3926"/>
    <w:lvl w:ilvl="0" w:tplc="168A069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8A4ACC"/>
    <w:multiLevelType w:val="hybridMultilevel"/>
    <w:tmpl w:val="B4F476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305276F8"/>
    <w:multiLevelType w:val="hybridMultilevel"/>
    <w:tmpl w:val="AFD641D4"/>
    <w:lvl w:ilvl="0" w:tplc="B2F058E0">
      <w:start w:val="1"/>
      <w:numFmt w:val="upperLetter"/>
      <w:lvlText w:val="%1."/>
      <w:lvlJc w:val="left"/>
      <w:pPr>
        <w:ind w:left="620" w:hanging="361"/>
      </w:pPr>
      <w:rPr>
        <w:rFonts w:ascii="Times New Roman" w:eastAsia="Times New Roman" w:hAnsi="Times New Roman" w:cs="Times New Roman" w:hint="default"/>
        <w:b/>
        <w:bCs/>
        <w:i w:val="0"/>
        <w:iCs w:val="0"/>
        <w:spacing w:val="-1"/>
        <w:w w:val="100"/>
        <w:sz w:val="24"/>
        <w:szCs w:val="24"/>
        <w:lang w:val="id" w:eastAsia="en-US" w:bidi="ar-SA"/>
      </w:rPr>
    </w:lvl>
    <w:lvl w:ilvl="1" w:tplc="F788DA18">
      <w:start w:val="1"/>
      <w:numFmt w:val="lowerLetter"/>
      <w:lvlText w:val="%2."/>
      <w:lvlJc w:val="left"/>
      <w:pPr>
        <w:ind w:left="543" w:hanging="284"/>
      </w:pPr>
      <w:rPr>
        <w:rFonts w:ascii="Times New Roman" w:eastAsia="Times New Roman" w:hAnsi="Times New Roman" w:cs="Times New Roman" w:hint="default"/>
        <w:b w:val="0"/>
        <w:bCs w:val="0"/>
        <w:i w:val="0"/>
        <w:iCs w:val="0"/>
        <w:spacing w:val="-1"/>
        <w:w w:val="100"/>
        <w:sz w:val="24"/>
        <w:szCs w:val="24"/>
        <w:lang w:val="id" w:eastAsia="en-US" w:bidi="ar-SA"/>
      </w:rPr>
    </w:lvl>
    <w:lvl w:ilvl="2" w:tplc="8108AC0E">
      <w:start w:val="1"/>
      <w:numFmt w:val="decimal"/>
      <w:lvlText w:val="%3."/>
      <w:lvlJc w:val="left"/>
      <w:pPr>
        <w:ind w:left="826"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3" w:tplc="055E4B86">
      <w:start w:val="1"/>
      <w:numFmt w:val="lowerLetter"/>
      <w:lvlText w:val="%4)"/>
      <w:lvlJc w:val="left"/>
      <w:pPr>
        <w:ind w:left="1109" w:hanging="360"/>
      </w:pPr>
      <w:rPr>
        <w:rFonts w:ascii="Times New Roman" w:eastAsia="Times New Roman" w:hAnsi="Times New Roman" w:cs="Times New Roman" w:hint="default"/>
        <w:b w:val="0"/>
        <w:bCs w:val="0"/>
        <w:i w:val="0"/>
        <w:iCs w:val="0"/>
        <w:spacing w:val="-1"/>
        <w:w w:val="100"/>
        <w:sz w:val="24"/>
        <w:szCs w:val="24"/>
        <w:lang w:val="id" w:eastAsia="en-US" w:bidi="ar-SA"/>
      </w:rPr>
    </w:lvl>
    <w:lvl w:ilvl="4" w:tplc="D368B6E0">
      <w:numFmt w:val="bullet"/>
      <w:lvlText w:val="•"/>
      <w:lvlJc w:val="left"/>
      <w:pPr>
        <w:ind w:left="2228" w:hanging="360"/>
      </w:pPr>
      <w:rPr>
        <w:rFonts w:hint="default"/>
        <w:lang w:val="id" w:eastAsia="en-US" w:bidi="ar-SA"/>
      </w:rPr>
    </w:lvl>
    <w:lvl w:ilvl="5" w:tplc="3398C8D8">
      <w:numFmt w:val="bullet"/>
      <w:lvlText w:val="•"/>
      <w:lvlJc w:val="left"/>
      <w:pPr>
        <w:ind w:left="3357" w:hanging="360"/>
      </w:pPr>
      <w:rPr>
        <w:rFonts w:hint="default"/>
        <w:lang w:val="id" w:eastAsia="en-US" w:bidi="ar-SA"/>
      </w:rPr>
    </w:lvl>
    <w:lvl w:ilvl="6" w:tplc="A3B003C2">
      <w:numFmt w:val="bullet"/>
      <w:lvlText w:val="•"/>
      <w:lvlJc w:val="left"/>
      <w:pPr>
        <w:ind w:left="4485" w:hanging="360"/>
      </w:pPr>
      <w:rPr>
        <w:rFonts w:hint="default"/>
        <w:lang w:val="id" w:eastAsia="en-US" w:bidi="ar-SA"/>
      </w:rPr>
    </w:lvl>
    <w:lvl w:ilvl="7" w:tplc="706EC0FE">
      <w:numFmt w:val="bullet"/>
      <w:lvlText w:val="•"/>
      <w:lvlJc w:val="left"/>
      <w:pPr>
        <w:ind w:left="5614" w:hanging="360"/>
      </w:pPr>
      <w:rPr>
        <w:rFonts w:hint="default"/>
        <w:lang w:val="id" w:eastAsia="en-US" w:bidi="ar-SA"/>
      </w:rPr>
    </w:lvl>
    <w:lvl w:ilvl="8" w:tplc="79DC7C10">
      <w:numFmt w:val="bullet"/>
      <w:lvlText w:val="•"/>
      <w:lvlJc w:val="left"/>
      <w:pPr>
        <w:ind w:left="6742" w:hanging="360"/>
      </w:pPr>
      <w:rPr>
        <w:rFonts w:hint="default"/>
        <w:lang w:val="id" w:eastAsia="en-US" w:bidi="ar-SA"/>
      </w:rPr>
    </w:lvl>
  </w:abstractNum>
  <w:abstractNum w:abstractNumId="19">
    <w:nsid w:val="3257669B"/>
    <w:multiLevelType w:val="hybridMultilevel"/>
    <w:tmpl w:val="315C06F4"/>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5070D43"/>
    <w:multiLevelType w:val="hybridMultilevel"/>
    <w:tmpl w:val="D3D66F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6261E07"/>
    <w:multiLevelType w:val="hybridMultilevel"/>
    <w:tmpl w:val="6620371E"/>
    <w:lvl w:ilvl="0" w:tplc="38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378F3649"/>
    <w:multiLevelType w:val="hybridMultilevel"/>
    <w:tmpl w:val="0798D2BE"/>
    <w:lvl w:ilvl="0" w:tplc="61BE168E">
      <w:start w:val="1"/>
      <w:numFmt w:val="lowerLetter"/>
      <w:lvlText w:val="%1."/>
      <w:lvlJc w:val="left"/>
      <w:pPr>
        <w:ind w:left="1434" w:hanging="360"/>
      </w:pPr>
      <w:rPr>
        <w:rFonts w:ascii="Book Antiqua" w:eastAsia="Calibri" w:hAnsi="Book Antiqua" w:cs="Times New Roman"/>
      </w:r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3">
    <w:nsid w:val="37B12EFF"/>
    <w:multiLevelType w:val="hybridMultilevel"/>
    <w:tmpl w:val="69CE926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3A0B7E3B"/>
    <w:multiLevelType w:val="hybridMultilevel"/>
    <w:tmpl w:val="05F04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9842DA"/>
    <w:multiLevelType w:val="hybridMultilevel"/>
    <w:tmpl w:val="C8EE01E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420553F"/>
    <w:multiLevelType w:val="hybridMultilevel"/>
    <w:tmpl w:val="4AF06ED8"/>
    <w:lvl w:ilvl="0" w:tplc="F788DA18">
      <w:start w:val="1"/>
      <w:numFmt w:val="lowerLetter"/>
      <w:lvlText w:val="%1."/>
      <w:lvlJc w:val="left"/>
      <w:pPr>
        <w:ind w:left="1287"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45355181"/>
    <w:multiLevelType w:val="hybridMultilevel"/>
    <w:tmpl w:val="F5763E70"/>
    <w:lvl w:ilvl="0" w:tplc="01DEE3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485472D2"/>
    <w:multiLevelType w:val="hybridMultilevel"/>
    <w:tmpl w:val="64B4B6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F668EC"/>
    <w:multiLevelType w:val="hybridMultilevel"/>
    <w:tmpl w:val="E4B21DE4"/>
    <w:lvl w:ilvl="0" w:tplc="38090019">
      <w:start w:val="1"/>
      <w:numFmt w:val="lowerLetter"/>
      <w:lvlText w:val="%1."/>
      <w:lvlJc w:val="left"/>
      <w:pPr>
        <w:ind w:left="928" w:hanging="360"/>
      </w:pPr>
      <w:rPr>
        <w:rFonts w:hint="default"/>
        <w:b w:val="0"/>
        <w:bCs w:val="0"/>
        <w:i w:val="0"/>
        <w:iCs w:val="0"/>
        <w:spacing w:val="-12"/>
        <w:w w:val="100"/>
        <w:sz w:val="24"/>
        <w:szCs w:val="24"/>
        <w:lang w:val="id" w:eastAsia="en-US" w:bidi="ar-SA"/>
      </w:rPr>
    </w:lvl>
    <w:lvl w:ilvl="1" w:tplc="F8FC9ECE">
      <w:start w:val="1"/>
      <w:numFmt w:val="lowerLetter"/>
      <w:lvlText w:val="%2."/>
      <w:lvlJc w:val="left"/>
      <w:pPr>
        <w:ind w:left="9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EB06DFA4">
      <w:numFmt w:val="bullet"/>
      <w:lvlText w:val="•"/>
      <w:lvlJc w:val="left"/>
      <w:pPr>
        <w:ind w:left="2492" w:hanging="360"/>
      </w:pPr>
      <w:rPr>
        <w:rFonts w:hint="default"/>
        <w:lang w:val="id" w:eastAsia="en-US" w:bidi="ar-SA"/>
      </w:rPr>
    </w:lvl>
    <w:lvl w:ilvl="3" w:tplc="3FC83922">
      <w:numFmt w:val="bullet"/>
      <w:lvlText w:val="•"/>
      <w:lvlJc w:val="left"/>
      <w:pPr>
        <w:ind w:left="3278" w:hanging="360"/>
      </w:pPr>
      <w:rPr>
        <w:rFonts w:hint="default"/>
        <w:lang w:val="id" w:eastAsia="en-US" w:bidi="ar-SA"/>
      </w:rPr>
    </w:lvl>
    <w:lvl w:ilvl="4" w:tplc="5AC8113C">
      <w:numFmt w:val="bullet"/>
      <w:lvlText w:val="•"/>
      <w:lvlJc w:val="left"/>
      <w:pPr>
        <w:ind w:left="4065" w:hanging="360"/>
      </w:pPr>
      <w:rPr>
        <w:rFonts w:hint="default"/>
        <w:lang w:val="id" w:eastAsia="en-US" w:bidi="ar-SA"/>
      </w:rPr>
    </w:lvl>
    <w:lvl w:ilvl="5" w:tplc="AB7061B0">
      <w:numFmt w:val="bullet"/>
      <w:lvlText w:val="•"/>
      <w:lvlJc w:val="left"/>
      <w:pPr>
        <w:ind w:left="4851" w:hanging="360"/>
      </w:pPr>
      <w:rPr>
        <w:rFonts w:hint="default"/>
        <w:lang w:val="id" w:eastAsia="en-US" w:bidi="ar-SA"/>
      </w:rPr>
    </w:lvl>
    <w:lvl w:ilvl="6" w:tplc="0BBEBE62">
      <w:numFmt w:val="bullet"/>
      <w:lvlText w:val="•"/>
      <w:lvlJc w:val="left"/>
      <w:pPr>
        <w:ind w:left="5637" w:hanging="360"/>
      </w:pPr>
      <w:rPr>
        <w:rFonts w:hint="default"/>
        <w:lang w:val="id" w:eastAsia="en-US" w:bidi="ar-SA"/>
      </w:rPr>
    </w:lvl>
    <w:lvl w:ilvl="7" w:tplc="3FF06A2C">
      <w:numFmt w:val="bullet"/>
      <w:lvlText w:val="•"/>
      <w:lvlJc w:val="left"/>
      <w:pPr>
        <w:ind w:left="6424" w:hanging="360"/>
      </w:pPr>
      <w:rPr>
        <w:rFonts w:hint="default"/>
        <w:lang w:val="id" w:eastAsia="en-US" w:bidi="ar-SA"/>
      </w:rPr>
    </w:lvl>
    <w:lvl w:ilvl="8" w:tplc="8C422A7C">
      <w:numFmt w:val="bullet"/>
      <w:lvlText w:val="•"/>
      <w:lvlJc w:val="left"/>
      <w:pPr>
        <w:ind w:left="7210" w:hanging="360"/>
      </w:pPr>
      <w:rPr>
        <w:rFonts w:hint="default"/>
        <w:lang w:val="id" w:eastAsia="en-US" w:bidi="ar-SA"/>
      </w:rPr>
    </w:lvl>
  </w:abstractNum>
  <w:abstractNum w:abstractNumId="30">
    <w:nsid w:val="56333C16"/>
    <w:multiLevelType w:val="hybridMultilevel"/>
    <w:tmpl w:val="7B865340"/>
    <w:lvl w:ilvl="0" w:tplc="FFFFFFFF">
      <w:start w:val="1"/>
      <w:numFmt w:val="decimal"/>
      <w:lvlText w:val="%1."/>
      <w:lvlJc w:val="left"/>
      <w:pPr>
        <w:ind w:left="928" w:hanging="360"/>
      </w:pPr>
      <w:rPr>
        <w:rFonts w:ascii="Times New Roman" w:eastAsia="Times New Roman" w:hAnsi="Times New Roman" w:cs="Times New Roman" w:hint="default"/>
        <w:b w:val="0"/>
        <w:bCs w:val="0"/>
        <w:i w:val="0"/>
        <w:iCs w:val="0"/>
        <w:spacing w:val="-12"/>
        <w:w w:val="100"/>
        <w:sz w:val="24"/>
        <w:szCs w:val="24"/>
        <w:lang w:val="id" w:eastAsia="en-US" w:bidi="ar-SA"/>
      </w:rPr>
    </w:lvl>
    <w:lvl w:ilvl="1" w:tplc="38090019">
      <w:start w:val="1"/>
      <w:numFmt w:val="lowerLetter"/>
      <w:lvlText w:val="%2."/>
      <w:lvlJc w:val="left"/>
      <w:pPr>
        <w:ind w:left="928" w:hanging="360"/>
      </w:pPr>
    </w:lvl>
    <w:lvl w:ilvl="2" w:tplc="FFFFFFFF">
      <w:numFmt w:val="bullet"/>
      <w:lvlText w:val="•"/>
      <w:lvlJc w:val="left"/>
      <w:pPr>
        <w:ind w:left="2492" w:hanging="360"/>
      </w:pPr>
      <w:rPr>
        <w:rFonts w:hint="default"/>
        <w:lang w:val="id" w:eastAsia="en-US" w:bidi="ar-SA"/>
      </w:rPr>
    </w:lvl>
    <w:lvl w:ilvl="3" w:tplc="FFFFFFFF">
      <w:numFmt w:val="bullet"/>
      <w:lvlText w:val="•"/>
      <w:lvlJc w:val="left"/>
      <w:pPr>
        <w:ind w:left="3278" w:hanging="360"/>
      </w:pPr>
      <w:rPr>
        <w:rFonts w:hint="default"/>
        <w:lang w:val="id" w:eastAsia="en-US" w:bidi="ar-SA"/>
      </w:rPr>
    </w:lvl>
    <w:lvl w:ilvl="4" w:tplc="FFFFFFFF">
      <w:numFmt w:val="bullet"/>
      <w:lvlText w:val="•"/>
      <w:lvlJc w:val="left"/>
      <w:pPr>
        <w:ind w:left="4065" w:hanging="360"/>
      </w:pPr>
      <w:rPr>
        <w:rFonts w:hint="default"/>
        <w:lang w:val="id" w:eastAsia="en-US" w:bidi="ar-SA"/>
      </w:rPr>
    </w:lvl>
    <w:lvl w:ilvl="5" w:tplc="FFFFFFFF">
      <w:numFmt w:val="bullet"/>
      <w:lvlText w:val="•"/>
      <w:lvlJc w:val="left"/>
      <w:pPr>
        <w:ind w:left="4851" w:hanging="360"/>
      </w:pPr>
      <w:rPr>
        <w:rFonts w:hint="default"/>
        <w:lang w:val="id" w:eastAsia="en-US" w:bidi="ar-SA"/>
      </w:rPr>
    </w:lvl>
    <w:lvl w:ilvl="6" w:tplc="FFFFFFFF">
      <w:numFmt w:val="bullet"/>
      <w:lvlText w:val="•"/>
      <w:lvlJc w:val="left"/>
      <w:pPr>
        <w:ind w:left="5637" w:hanging="360"/>
      </w:pPr>
      <w:rPr>
        <w:rFonts w:hint="default"/>
        <w:lang w:val="id" w:eastAsia="en-US" w:bidi="ar-SA"/>
      </w:rPr>
    </w:lvl>
    <w:lvl w:ilvl="7" w:tplc="FFFFFFFF">
      <w:numFmt w:val="bullet"/>
      <w:lvlText w:val="•"/>
      <w:lvlJc w:val="left"/>
      <w:pPr>
        <w:ind w:left="6424" w:hanging="360"/>
      </w:pPr>
      <w:rPr>
        <w:rFonts w:hint="default"/>
        <w:lang w:val="id" w:eastAsia="en-US" w:bidi="ar-SA"/>
      </w:rPr>
    </w:lvl>
    <w:lvl w:ilvl="8" w:tplc="FFFFFFFF">
      <w:numFmt w:val="bullet"/>
      <w:lvlText w:val="•"/>
      <w:lvlJc w:val="left"/>
      <w:pPr>
        <w:ind w:left="7210" w:hanging="360"/>
      </w:pPr>
      <w:rPr>
        <w:rFonts w:hint="default"/>
        <w:lang w:val="id" w:eastAsia="en-US" w:bidi="ar-SA"/>
      </w:rPr>
    </w:lvl>
  </w:abstractNum>
  <w:abstractNum w:abstractNumId="31">
    <w:nsid w:val="5BB31C4A"/>
    <w:multiLevelType w:val="hybridMultilevel"/>
    <w:tmpl w:val="01B4A684"/>
    <w:lvl w:ilvl="0" w:tplc="F788DA18">
      <w:start w:val="1"/>
      <w:numFmt w:val="lowerLetter"/>
      <w:lvlText w:val="%1."/>
      <w:lvlJc w:val="left"/>
      <w:pPr>
        <w:ind w:left="1287"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5D345588"/>
    <w:multiLevelType w:val="hybridMultilevel"/>
    <w:tmpl w:val="24FE89D8"/>
    <w:lvl w:ilvl="0" w:tplc="04090011">
      <w:start w:val="1"/>
      <w:numFmt w:val="decimal"/>
      <w:lvlText w:val="%1)"/>
      <w:lvlJc w:val="left"/>
      <w:pPr>
        <w:ind w:left="1287" w:hanging="360"/>
      </w:pPr>
      <w:rPr>
        <w:rFonts w:hint="default"/>
        <w:b w:val="0"/>
        <w:bCs w:val="0"/>
        <w:i w:val="0"/>
        <w:iCs w:val="0"/>
        <w:spacing w:val="-1"/>
        <w:w w:val="100"/>
        <w:sz w:val="24"/>
        <w:szCs w:val="24"/>
        <w:lang w:val="id"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65344CAB"/>
    <w:multiLevelType w:val="hybridMultilevel"/>
    <w:tmpl w:val="4F1EBAFC"/>
    <w:lvl w:ilvl="0" w:tplc="357A15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9DD1AC3"/>
    <w:multiLevelType w:val="multilevel"/>
    <w:tmpl w:val="69DD1AC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E8C3A01"/>
    <w:multiLevelType w:val="multilevel"/>
    <w:tmpl w:val="07905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F0325D9"/>
    <w:multiLevelType w:val="hybridMultilevel"/>
    <w:tmpl w:val="7284BF7C"/>
    <w:lvl w:ilvl="0" w:tplc="38090019">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37">
    <w:nsid w:val="704C70B6"/>
    <w:multiLevelType w:val="hybridMultilevel"/>
    <w:tmpl w:val="5468980E"/>
    <w:lvl w:ilvl="0" w:tplc="38090019">
      <w:start w:val="1"/>
      <w:numFmt w:val="lowerLetter"/>
      <w:lvlText w:val="%1."/>
      <w:lvlJc w:val="left"/>
      <w:pPr>
        <w:ind w:left="634" w:hanging="360"/>
      </w:pPr>
      <w:rPr>
        <w:rFonts w:hint="default"/>
      </w:rPr>
    </w:lvl>
    <w:lvl w:ilvl="1" w:tplc="38090019">
      <w:start w:val="1"/>
      <w:numFmt w:val="lowerLetter"/>
      <w:lvlText w:val="%2."/>
      <w:lvlJc w:val="left"/>
      <w:pPr>
        <w:ind w:left="1354" w:hanging="360"/>
      </w:pPr>
    </w:lvl>
    <w:lvl w:ilvl="2" w:tplc="3809001B">
      <w:start w:val="1"/>
      <w:numFmt w:val="lowerRoman"/>
      <w:lvlText w:val="%3."/>
      <w:lvlJc w:val="right"/>
      <w:pPr>
        <w:ind w:left="2074" w:hanging="180"/>
      </w:pPr>
    </w:lvl>
    <w:lvl w:ilvl="3" w:tplc="3809000F">
      <w:start w:val="1"/>
      <w:numFmt w:val="decimal"/>
      <w:lvlText w:val="%4."/>
      <w:lvlJc w:val="left"/>
      <w:pPr>
        <w:ind w:left="2794" w:hanging="360"/>
      </w:pPr>
    </w:lvl>
    <w:lvl w:ilvl="4" w:tplc="38090019" w:tentative="1">
      <w:start w:val="1"/>
      <w:numFmt w:val="lowerLetter"/>
      <w:lvlText w:val="%5."/>
      <w:lvlJc w:val="left"/>
      <w:pPr>
        <w:ind w:left="3514" w:hanging="360"/>
      </w:pPr>
    </w:lvl>
    <w:lvl w:ilvl="5" w:tplc="3809001B" w:tentative="1">
      <w:start w:val="1"/>
      <w:numFmt w:val="lowerRoman"/>
      <w:lvlText w:val="%6."/>
      <w:lvlJc w:val="right"/>
      <w:pPr>
        <w:ind w:left="4234" w:hanging="180"/>
      </w:pPr>
    </w:lvl>
    <w:lvl w:ilvl="6" w:tplc="3809000F" w:tentative="1">
      <w:start w:val="1"/>
      <w:numFmt w:val="decimal"/>
      <w:lvlText w:val="%7."/>
      <w:lvlJc w:val="left"/>
      <w:pPr>
        <w:ind w:left="4954" w:hanging="360"/>
      </w:pPr>
    </w:lvl>
    <w:lvl w:ilvl="7" w:tplc="38090019" w:tentative="1">
      <w:start w:val="1"/>
      <w:numFmt w:val="lowerLetter"/>
      <w:lvlText w:val="%8."/>
      <w:lvlJc w:val="left"/>
      <w:pPr>
        <w:ind w:left="5674" w:hanging="360"/>
      </w:pPr>
    </w:lvl>
    <w:lvl w:ilvl="8" w:tplc="3809001B" w:tentative="1">
      <w:start w:val="1"/>
      <w:numFmt w:val="lowerRoman"/>
      <w:lvlText w:val="%9."/>
      <w:lvlJc w:val="right"/>
      <w:pPr>
        <w:ind w:left="6394" w:hanging="180"/>
      </w:pPr>
    </w:lvl>
  </w:abstractNum>
  <w:abstractNum w:abstractNumId="38">
    <w:nsid w:val="7388007C"/>
    <w:multiLevelType w:val="multilevel"/>
    <w:tmpl w:val="AB78C91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5574AC2"/>
    <w:multiLevelType w:val="hybridMultilevel"/>
    <w:tmpl w:val="44BE881C"/>
    <w:lvl w:ilvl="0" w:tplc="A232CBF6">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40">
    <w:nsid w:val="759A537E"/>
    <w:multiLevelType w:val="multilevel"/>
    <w:tmpl w:val="7FC89222"/>
    <w:lvl w:ilvl="0">
      <w:start w:val="1"/>
      <w:numFmt w:val="decimal"/>
      <w:lvlText w:val="%1."/>
      <w:lvlJc w:val="left"/>
      <w:pPr>
        <w:ind w:left="1211" w:hanging="360"/>
      </w:pPr>
      <w:rPr>
        <w:rFonts w:hint="default"/>
      </w:rPr>
    </w:lvl>
    <w:lvl w:ilvl="1">
      <w:start w:val="5"/>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41">
    <w:nsid w:val="75B9006A"/>
    <w:multiLevelType w:val="multilevel"/>
    <w:tmpl w:val="B9A6AFCE"/>
    <w:lvl w:ilvl="0">
      <w:start w:val="1"/>
      <w:numFmt w:val="lowerLetter"/>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FA4299"/>
    <w:multiLevelType w:val="hybridMultilevel"/>
    <w:tmpl w:val="3E629B12"/>
    <w:lvl w:ilvl="0" w:tplc="3809000F">
      <w:start w:val="1"/>
      <w:numFmt w:val="decimal"/>
      <w:lvlText w:val="%1."/>
      <w:lvlJc w:val="left"/>
      <w:pPr>
        <w:ind w:left="1287" w:hanging="360"/>
      </w:pPr>
      <w:rPr>
        <w:rFonts w:hint="default"/>
        <w:b w:val="0"/>
        <w:bCs w:val="0"/>
        <w:i w:val="0"/>
        <w:iCs w:val="0"/>
        <w:spacing w:val="0"/>
        <w:w w:val="100"/>
        <w:sz w:val="24"/>
        <w:szCs w:val="24"/>
        <w:lang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nsid w:val="765033D5"/>
    <w:multiLevelType w:val="hybridMultilevel"/>
    <w:tmpl w:val="4BBA745C"/>
    <w:lvl w:ilvl="0" w:tplc="87320124">
      <w:start w:val="1"/>
      <w:numFmt w:val="decimal"/>
      <w:lvlText w:val="%1."/>
      <w:lvlJc w:val="left"/>
      <w:pPr>
        <w:ind w:left="928" w:hanging="360"/>
      </w:pPr>
      <w:rPr>
        <w:rFonts w:ascii="Times New Roman" w:eastAsia="Times New Roman" w:hAnsi="Times New Roman" w:cs="Times New Roman" w:hint="default"/>
        <w:b w:val="0"/>
        <w:bCs w:val="0"/>
        <w:i w:val="0"/>
        <w:iCs w:val="0"/>
        <w:color w:val="000008"/>
        <w:spacing w:val="-12"/>
        <w:w w:val="100"/>
        <w:sz w:val="24"/>
        <w:szCs w:val="24"/>
        <w:lang w:val="id" w:eastAsia="en-US" w:bidi="ar-SA"/>
      </w:rPr>
    </w:lvl>
    <w:lvl w:ilvl="1" w:tplc="025CECA2">
      <w:numFmt w:val="bullet"/>
      <w:lvlText w:val="•"/>
      <w:lvlJc w:val="left"/>
      <w:pPr>
        <w:ind w:left="1706" w:hanging="360"/>
      </w:pPr>
      <w:rPr>
        <w:rFonts w:hint="default"/>
        <w:lang w:val="id" w:eastAsia="en-US" w:bidi="ar-SA"/>
      </w:rPr>
    </w:lvl>
    <w:lvl w:ilvl="2" w:tplc="AB58E4D0">
      <w:numFmt w:val="bullet"/>
      <w:lvlText w:val="•"/>
      <w:lvlJc w:val="left"/>
      <w:pPr>
        <w:ind w:left="2492" w:hanging="360"/>
      </w:pPr>
      <w:rPr>
        <w:rFonts w:hint="default"/>
        <w:lang w:val="id" w:eastAsia="en-US" w:bidi="ar-SA"/>
      </w:rPr>
    </w:lvl>
    <w:lvl w:ilvl="3" w:tplc="A1B414D0">
      <w:numFmt w:val="bullet"/>
      <w:lvlText w:val="•"/>
      <w:lvlJc w:val="left"/>
      <w:pPr>
        <w:ind w:left="3278" w:hanging="360"/>
      </w:pPr>
      <w:rPr>
        <w:rFonts w:hint="default"/>
        <w:lang w:val="id" w:eastAsia="en-US" w:bidi="ar-SA"/>
      </w:rPr>
    </w:lvl>
    <w:lvl w:ilvl="4" w:tplc="C0A85FC0">
      <w:numFmt w:val="bullet"/>
      <w:lvlText w:val="•"/>
      <w:lvlJc w:val="left"/>
      <w:pPr>
        <w:ind w:left="4065" w:hanging="360"/>
      </w:pPr>
      <w:rPr>
        <w:rFonts w:hint="default"/>
        <w:lang w:val="id" w:eastAsia="en-US" w:bidi="ar-SA"/>
      </w:rPr>
    </w:lvl>
    <w:lvl w:ilvl="5" w:tplc="A9D6181C">
      <w:numFmt w:val="bullet"/>
      <w:lvlText w:val="•"/>
      <w:lvlJc w:val="left"/>
      <w:pPr>
        <w:ind w:left="4851" w:hanging="360"/>
      </w:pPr>
      <w:rPr>
        <w:rFonts w:hint="default"/>
        <w:lang w:val="id" w:eastAsia="en-US" w:bidi="ar-SA"/>
      </w:rPr>
    </w:lvl>
    <w:lvl w:ilvl="6" w:tplc="2BACE3BE">
      <w:numFmt w:val="bullet"/>
      <w:lvlText w:val="•"/>
      <w:lvlJc w:val="left"/>
      <w:pPr>
        <w:ind w:left="5637" w:hanging="360"/>
      </w:pPr>
      <w:rPr>
        <w:rFonts w:hint="default"/>
        <w:lang w:val="id" w:eastAsia="en-US" w:bidi="ar-SA"/>
      </w:rPr>
    </w:lvl>
    <w:lvl w:ilvl="7" w:tplc="B6EAC9D4">
      <w:numFmt w:val="bullet"/>
      <w:lvlText w:val="•"/>
      <w:lvlJc w:val="left"/>
      <w:pPr>
        <w:ind w:left="6424" w:hanging="360"/>
      </w:pPr>
      <w:rPr>
        <w:rFonts w:hint="default"/>
        <w:lang w:val="id" w:eastAsia="en-US" w:bidi="ar-SA"/>
      </w:rPr>
    </w:lvl>
    <w:lvl w:ilvl="8" w:tplc="67C0A060">
      <w:numFmt w:val="bullet"/>
      <w:lvlText w:val="•"/>
      <w:lvlJc w:val="left"/>
      <w:pPr>
        <w:ind w:left="7210" w:hanging="360"/>
      </w:pPr>
      <w:rPr>
        <w:rFonts w:hint="default"/>
        <w:lang w:val="id" w:eastAsia="en-US" w:bidi="ar-SA"/>
      </w:rPr>
    </w:lvl>
  </w:abstractNum>
  <w:abstractNum w:abstractNumId="44">
    <w:nsid w:val="765E3E24"/>
    <w:multiLevelType w:val="hybridMultilevel"/>
    <w:tmpl w:val="7FC0807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7DDB0C8C"/>
    <w:multiLevelType w:val="multilevel"/>
    <w:tmpl w:val="056096E2"/>
    <w:lvl w:ilvl="0">
      <w:start w:val="1"/>
      <w:numFmt w:val="decimal"/>
      <w:lvlText w:val="%1."/>
      <w:lvlJc w:val="left"/>
      <w:pPr>
        <w:ind w:left="928" w:hanging="360"/>
      </w:pPr>
      <w:rPr>
        <w:rFonts w:ascii="Times New Roman" w:eastAsia="Times New Roman" w:hAnsi="Times New Roman" w:cs="Times New Roman" w:hint="default"/>
        <w:b w:val="0"/>
        <w:bCs w:val="0"/>
        <w:i w:val="0"/>
        <w:iCs w:val="0"/>
        <w:spacing w:val="-12"/>
        <w:w w:val="100"/>
        <w:sz w:val="24"/>
        <w:szCs w:val="24"/>
        <w:lang w:val="id" w:eastAsia="en-US" w:bidi="ar-SA"/>
      </w:rPr>
    </w:lvl>
    <w:lvl w:ilvl="1">
      <w:start w:val="1"/>
      <w:numFmt w:val="decimal"/>
      <w:lvlText w:val="%1.%2"/>
      <w:lvlJc w:val="left"/>
      <w:pPr>
        <w:ind w:left="899" w:hanging="331"/>
      </w:pPr>
      <w:rPr>
        <w:rFonts w:ascii="Times New Roman" w:eastAsia="Times New Roman" w:hAnsi="Times New Roman" w:cs="Times New Roman" w:hint="default"/>
        <w:b/>
        <w:bCs/>
        <w:i w:val="0"/>
        <w:iCs w:val="0"/>
        <w:color w:val="000008"/>
        <w:spacing w:val="-12"/>
        <w:w w:val="100"/>
        <w:sz w:val="24"/>
        <w:szCs w:val="24"/>
        <w:lang w:val="id" w:eastAsia="en-US" w:bidi="ar-SA"/>
      </w:rPr>
    </w:lvl>
    <w:lvl w:ilvl="2">
      <w:start w:val="1"/>
      <w:numFmt w:val="decimal"/>
      <w:lvlText w:val="%1.%2.%3"/>
      <w:lvlJc w:val="left"/>
      <w:pPr>
        <w:ind w:left="1072" w:hanging="504"/>
      </w:pPr>
      <w:rPr>
        <w:rFonts w:ascii="Times New Roman" w:eastAsia="Times New Roman" w:hAnsi="Times New Roman" w:cs="Times New Roman" w:hint="default"/>
        <w:b/>
        <w:bCs/>
        <w:i w:val="0"/>
        <w:iCs w:val="0"/>
        <w:color w:val="000008"/>
        <w:spacing w:val="-12"/>
        <w:w w:val="100"/>
        <w:sz w:val="24"/>
        <w:szCs w:val="24"/>
        <w:lang w:val="id" w:eastAsia="en-US" w:bidi="ar-SA"/>
      </w:rPr>
    </w:lvl>
    <w:lvl w:ilvl="3">
      <w:start w:val="1"/>
      <w:numFmt w:val="lowerLetter"/>
      <w:lvlText w:val="%4."/>
      <w:lvlJc w:val="left"/>
      <w:pPr>
        <w:ind w:left="1288" w:hanging="360"/>
      </w:pPr>
      <w:rPr>
        <w:rFonts w:ascii="Times New Roman" w:eastAsia="Times New Roman" w:hAnsi="Times New Roman" w:cs="Times New Roman" w:hint="default"/>
        <w:b w:val="0"/>
        <w:bCs w:val="0"/>
        <w:i w:val="0"/>
        <w:iCs w:val="0"/>
        <w:color w:val="000008"/>
        <w:spacing w:val="0"/>
        <w:w w:val="100"/>
        <w:sz w:val="24"/>
        <w:szCs w:val="24"/>
        <w:lang w:val="id" w:eastAsia="en-US" w:bidi="ar-SA"/>
      </w:rPr>
    </w:lvl>
    <w:lvl w:ilvl="4">
      <w:start w:val="1"/>
      <w:numFmt w:val="decimal"/>
      <w:lvlText w:val="%5."/>
      <w:lvlJc w:val="left"/>
      <w:pPr>
        <w:ind w:left="1648" w:hanging="360"/>
      </w:pPr>
      <w:rPr>
        <w:rFonts w:ascii="Times New Roman" w:eastAsia="Times New Roman" w:hAnsi="Times New Roman" w:cs="Times New Roman" w:hint="default"/>
        <w:b w:val="0"/>
        <w:bCs w:val="0"/>
        <w:i w:val="0"/>
        <w:iCs w:val="0"/>
        <w:color w:val="000008"/>
        <w:spacing w:val="-12"/>
        <w:w w:val="100"/>
        <w:sz w:val="24"/>
        <w:szCs w:val="24"/>
        <w:lang w:val="id" w:eastAsia="en-US" w:bidi="ar-SA"/>
      </w:rPr>
    </w:lvl>
    <w:lvl w:ilvl="5">
      <w:numFmt w:val="bullet"/>
      <w:lvlText w:val="•"/>
      <w:lvlJc w:val="left"/>
      <w:pPr>
        <w:ind w:left="2830" w:hanging="360"/>
      </w:pPr>
      <w:rPr>
        <w:rFonts w:hint="default"/>
        <w:lang w:val="id" w:eastAsia="en-US" w:bidi="ar-SA"/>
      </w:rPr>
    </w:lvl>
    <w:lvl w:ilvl="6">
      <w:numFmt w:val="bullet"/>
      <w:lvlText w:val="•"/>
      <w:lvlJc w:val="left"/>
      <w:pPr>
        <w:ind w:left="4021" w:hanging="360"/>
      </w:pPr>
      <w:rPr>
        <w:rFonts w:hint="default"/>
        <w:lang w:val="id" w:eastAsia="en-US" w:bidi="ar-SA"/>
      </w:rPr>
    </w:lvl>
    <w:lvl w:ilvl="7">
      <w:numFmt w:val="bullet"/>
      <w:lvlText w:val="•"/>
      <w:lvlJc w:val="left"/>
      <w:pPr>
        <w:ind w:left="5211" w:hanging="360"/>
      </w:pPr>
      <w:rPr>
        <w:rFonts w:hint="default"/>
        <w:lang w:val="id" w:eastAsia="en-US" w:bidi="ar-SA"/>
      </w:rPr>
    </w:lvl>
    <w:lvl w:ilvl="8">
      <w:numFmt w:val="bullet"/>
      <w:lvlText w:val="•"/>
      <w:lvlJc w:val="left"/>
      <w:pPr>
        <w:ind w:left="6402" w:hanging="360"/>
      </w:pPr>
      <w:rPr>
        <w:rFonts w:hint="default"/>
        <w:lang w:val="id" w:eastAsia="en-US" w:bidi="ar-SA"/>
      </w:rPr>
    </w:lvl>
  </w:abstractNum>
  <w:abstractNum w:abstractNumId="46">
    <w:nsid w:val="7F09588A"/>
    <w:multiLevelType w:val="hybridMultilevel"/>
    <w:tmpl w:val="DE420D90"/>
    <w:lvl w:ilvl="0" w:tplc="7CB245DE">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num w:numId="1">
    <w:abstractNumId w:val="27"/>
  </w:num>
  <w:num w:numId="2">
    <w:abstractNumId w:val="33"/>
  </w:num>
  <w:num w:numId="3">
    <w:abstractNumId w:val="19"/>
  </w:num>
  <w:num w:numId="4">
    <w:abstractNumId w:val="9"/>
  </w:num>
  <w:num w:numId="5">
    <w:abstractNumId w:val="41"/>
  </w:num>
  <w:num w:numId="6">
    <w:abstractNumId w:val="3"/>
  </w:num>
  <w:num w:numId="7">
    <w:abstractNumId w:val="22"/>
  </w:num>
  <w:num w:numId="8">
    <w:abstractNumId w:val="2"/>
  </w:num>
  <w:num w:numId="9">
    <w:abstractNumId w:val="1"/>
  </w:num>
  <w:num w:numId="10">
    <w:abstractNumId w:val="24"/>
  </w:num>
  <w:num w:numId="11">
    <w:abstractNumId w:val="44"/>
  </w:num>
  <w:num w:numId="12">
    <w:abstractNumId w:val="13"/>
  </w:num>
  <w:num w:numId="13">
    <w:abstractNumId w:val="35"/>
  </w:num>
  <w:num w:numId="14">
    <w:abstractNumId w:val="4"/>
  </w:num>
  <w:num w:numId="15">
    <w:abstractNumId w:val="45"/>
  </w:num>
  <w:num w:numId="16">
    <w:abstractNumId w:val="7"/>
  </w:num>
  <w:num w:numId="17">
    <w:abstractNumId w:val="6"/>
  </w:num>
  <w:num w:numId="18">
    <w:abstractNumId w:val="30"/>
  </w:num>
  <w:num w:numId="19">
    <w:abstractNumId w:val="12"/>
  </w:num>
  <w:num w:numId="20">
    <w:abstractNumId w:val="29"/>
  </w:num>
  <w:num w:numId="21">
    <w:abstractNumId w:val="46"/>
  </w:num>
  <w:num w:numId="22">
    <w:abstractNumId w:val="36"/>
  </w:num>
  <w:num w:numId="23">
    <w:abstractNumId w:val="37"/>
  </w:num>
  <w:num w:numId="24">
    <w:abstractNumId w:val="21"/>
  </w:num>
  <w:num w:numId="25">
    <w:abstractNumId w:val="42"/>
  </w:num>
  <w:num w:numId="26">
    <w:abstractNumId w:val="43"/>
  </w:num>
  <w:num w:numId="27">
    <w:abstractNumId w:val="39"/>
  </w:num>
  <w:num w:numId="28">
    <w:abstractNumId w:val="15"/>
  </w:num>
  <w:num w:numId="29">
    <w:abstractNumId w:val="14"/>
  </w:num>
  <w:num w:numId="30">
    <w:abstractNumId w:val="5"/>
  </w:num>
  <w:num w:numId="31">
    <w:abstractNumId w:val="18"/>
  </w:num>
  <w:num w:numId="32">
    <w:abstractNumId w:val="11"/>
  </w:num>
  <w:num w:numId="33">
    <w:abstractNumId w:val="26"/>
  </w:num>
  <w:num w:numId="34">
    <w:abstractNumId w:val="31"/>
  </w:num>
  <w:num w:numId="35">
    <w:abstractNumId w:val="32"/>
  </w:num>
  <w:num w:numId="36">
    <w:abstractNumId w:val="0"/>
  </w:num>
  <w:num w:numId="37">
    <w:abstractNumId w:val="38"/>
  </w:num>
  <w:num w:numId="38">
    <w:abstractNumId w:val="10"/>
  </w:num>
  <w:num w:numId="39">
    <w:abstractNumId w:val="25"/>
  </w:num>
  <w:num w:numId="40">
    <w:abstractNumId w:val="40"/>
  </w:num>
  <w:num w:numId="41">
    <w:abstractNumId w:val="17"/>
  </w:num>
  <w:num w:numId="42">
    <w:abstractNumId w:val="8"/>
  </w:num>
  <w:num w:numId="43">
    <w:abstractNumId w:val="16"/>
  </w:num>
  <w:num w:numId="44">
    <w:abstractNumId w:val="23"/>
  </w:num>
  <w:num w:numId="45">
    <w:abstractNumId w:val="28"/>
  </w:num>
  <w:num w:numId="46">
    <w:abstractNumId w:val="34"/>
  </w:num>
  <w:num w:numId="47">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99A"/>
    <w:rsid w:val="00002478"/>
    <w:rsid w:val="000034A6"/>
    <w:rsid w:val="00003640"/>
    <w:rsid w:val="000037D2"/>
    <w:rsid w:val="00003B1F"/>
    <w:rsid w:val="000079C6"/>
    <w:rsid w:val="00011119"/>
    <w:rsid w:val="000125C2"/>
    <w:rsid w:val="00012C31"/>
    <w:rsid w:val="00017EA8"/>
    <w:rsid w:val="00021AF4"/>
    <w:rsid w:val="00022446"/>
    <w:rsid w:val="00022AF2"/>
    <w:rsid w:val="00027F93"/>
    <w:rsid w:val="000331C7"/>
    <w:rsid w:val="00041097"/>
    <w:rsid w:val="00041F84"/>
    <w:rsid w:val="0004237F"/>
    <w:rsid w:val="00045369"/>
    <w:rsid w:val="00050586"/>
    <w:rsid w:val="000516C4"/>
    <w:rsid w:val="00051A17"/>
    <w:rsid w:val="00053162"/>
    <w:rsid w:val="0006078B"/>
    <w:rsid w:val="000632E9"/>
    <w:rsid w:val="00072E49"/>
    <w:rsid w:val="00072FB2"/>
    <w:rsid w:val="00074391"/>
    <w:rsid w:val="000756F1"/>
    <w:rsid w:val="00075D1E"/>
    <w:rsid w:val="0007665B"/>
    <w:rsid w:val="00082503"/>
    <w:rsid w:val="00085C61"/>
    <w:rsid w:val="00095EE6"/>
    <w:rsid w:val="000A0700"/>
    <w:rsid w:val="000A0B8E"/>
    <w:rsid w:val="000A3D43"/>
    <w:rsid w:val="000A5A66"/>
    <w:rsid w:val="000B251B"/>
    <w:rsid w:val="000B3839"/>
    <w:rsid w:val="000C0A32"/>
    <w:rsid w:val="000C1AEA"/>
    <w:rsid w:val="000C2EF3"/>
    <w:rsid w:val="000C49D8"/>
    <w:rsid w:val="000C72D5"/>
    <w:rsid w:val="000D286F"/>
    <w:rsid w:val="000D7282"/>
    <w:rsid w:val="000D766E"/>
    <w:rsid w:val="000E2B3E"/>
    <w:rsid w:val="000E59DB"/>
    <w:rsid w:val="000E6C06"/>
    <w:rsid w:val="000F02F9"/>
    <w:rsid w:val="000F12D2"/>
    <w:rsid w:val="000F25A4"/>
    <w:rsid w:val="000F441B"/>
    <w:rsid w:val="001018D0"/>
    <w:rsid w:val="001034DF"/>
    <w:rsid w:val="00106B43"/>
    <w:rsid w:val="00106BD0"/>
    <w:rsid w:val="00111F78"/>
    <w:rsid w:val="001127C3"/>
    <w:rsid w:val="00112FEB"/>
    <w:rsid w:val="001132FC"/>
    <w:rsid w:val="00113739"/>
    <w:rsid w:val="001227E4"/>
    <w:rsid w:val="00126D68"/>
    <w:rsid w:val="00126F17"/>
    <w:rsid w:val="001334F2"/>
    <w:rsid w:val="001400FC"/>
    <w:rsid w:val="00142E5E"/>
    <w:rsid w:val="00143768"/>
    <w:rsid w:val="00145578"/>
    <w:rsid w:val="00152FD7"/>
    <w:rsid w:val="0016626F"/>
    <w:rsid w:val="00176BA0"/>
    <w:rsid w:val="0018078C"/>
    <w:rsid w:val="0018103A"/>
    <w:rsid w:val="00181252"/>
    <w:rsid w:val="00183B09"/>
    <w:rsid w:val="00186544"/>
    <w:rsid w:val="00187D06"/>
    <w:rsid w:val="0019266F"/>
    <w:rsid w:val="001929B0"/>
    <w:rsid w:val="0019522A"/>
    <w:rsid w:val="001959BA"/>
    <w:rsid w:val="00197175"/>
    <w:rsid w:val="001978CA"/>
    <w:rsid w:val="001A4C98"/>
    <w:rsid w:val="001A6965"/>
    <w:rsid w:val="001B19B1"/>
    <w:rsid w:val="001B2ABB"/>
    <w:rsid w:val="001B3C41"/>
    <w:rsid w:val="001B4DC4"/>
    <w:rsid w:val="001B6093"/>
    <w:rsid w:val="001B6396"/>
    <w:rsid w:val="001B6914"/>
    <w:rsid w:val="001C2B19"/>
    <w:rsid w:val="001C3C3D"/>
    <w:rsid w:val="001C3D7B"/>
    <w:rsid w:val="001C431C"/>
    <w:rsid w:val="001C4DD6"/>
    <w:rsid w:val="001C6020"/>
    <w:rsid w:val="001C70CA"/>
    <w:rsid w:val="001D062F"/>
    <w:rsid w:val="001D1BF3"/>
    <w:rsid w:val="001D6DB5"/>
    <w:rsid w:val="001D7A3D"/>
    <w:rsid w:val="001E1131"/>
    <w:rsid w:val="001E41E6"/>
    <w:rsid w:val="00204C12"/>
    <w:rsid w:val="0021585B"/>
    <w:rsid w:val="002161AC"/>
    <w:rsid w:val="002202DB"/>
    <w:rsid w:val="00223664"/>
    <w:rsid w:val="00224DB3"/>
    <w:rsid w:val="00226246"/>
    <w:rsid w:val="002269BA"/>
    <w:rsid w:val="00226ABD"/>
    <w:rsid w:val="00226E6F"/>
    <w:rsid w:val="002404A3"/>
    <w:rsid w:val="00243085"/>
    <w:rsid w:val="00243D85"/>
    <w:rsid w:val="00246208"/>
    <w:rsid w:val="002506A0"/>
    <w:rsid w:val="00250B0A"/>
    <w:rsid w:val="00252628"/>
    <w:rsid w:val="0025362C"/>
    <w:rsid w:val="0025488D"/>
    <w:rsid w:val="00260ACC"/>
    <w:rsid w:val="00263642"/>
    <w:rsid w:val="00264277"/>
    <w:rsid w:val="0027082F"/>
    <w:rsid w:val="00273B5C"/>
    <w:rsid w:val="00275407"/>
    <w:rsid w:val="00275BDE"/>
    <w:rsid w:val="0027797A"/>
    <w:rsid w:val="00280510"/>
    <w:rsid w:val="00281000"/>
    <w:rsid w:val="00281911"/>
    <w:rsid w:val="00282189"/>
    <w:rsid w:val="00283BC2"/>
    <w:rsid w:val="0028506A"/>
    <w:rsid w:val="00285F36"/>
    <w:rsid w:val="00297D09"/>
    <w:rsid w:val="002A72A9"/>
    <w:rsid w:val="002A78BE"/>
    <w:rsid w:val="002B1832"/>
    <w:rsid w:val="002B1EE8"/>
    <w:rsid w:val="002B5C5F"/>
    <w:rsid w:val="002B7F1A"/>
    <w:rsid w:val="002C008C"/>
    <w:rsid w:val="002C26FA"/>
    <w:rsid w:val="002C3BF9"/>
    <w:rsid w:val="002E3B2B"/>
    <w:rsid w:val="002E4CA7"/>
    <w:rsid w:val="002E5674"/>
    <w:rsid w:val="002F07CC"/>
    <w:rsid w:val="002F0F37"/>
    <w:rsid w:val="002F2A5F"/>
    <w:rsid w:val="002F31BE"/>
    <w:rsid w:val="003039B9"/>
    <w:rsid w:val="003068A9"/>
    <w:rsid w:val="00306A19"/>
    <w:rsid w:val="00311A92"/>
    <w:rsid w:val="003135EF"/>
    <w:rsid w:val="0031462F"/>
    <w:rsid w:val="003171E6"/>
    <w:rsid w:val="00325190"/>
    <w:rsid w:val="00327217"/>
    <w:rsid w:val="003309D5"/>
    <w:rsid w:val="0033705C"/>
    <w:rsid w:val="003403FC"/>
    <w:rsid w:val="003406B7"/>
    <w:rsid w:val="00340D19"/>
    <w:rsid w:val="00345813"/>
    <w:rsid w:val="00350CED"/>
    <w:rsid w:val="00351381"/>
    <w:rsid w:val="0035539C"/>
    <w:rsid w:val="00360659"/>
    <w:rsid w:val="0036264C"/>
    <w:rsid w:val="0036550F"/>
    <w:rsid w:val="003656C2"/>
    <w:rsid w:val="0036573E"/>
    <w:rsid w:val="00365760"/>
    <w:rsid w:val="003777E0"/>
    <w:rsid w:val="00383EAD"/>
    <w:rsid w:val="00387F44"/>
    <w:rsid w:val="00393C21"/>
    <w:rsid w:val="00395502"/>
    <w:rsid w:val="003A3513"/>
    <w:rsid w:val="003A371A"/>
    <w:rsid w:val="003A4BB1"/>
    <w:rsid w:val="003B0438"/>
    <w:rsid w:val="003B1AEE"/>
    <w:rsid w:val="003B1CE8"/>
    <w:rsid w:val="003B3400"/>
    <w:rsid w:val="003B6BB4"/>
    <w:rsid w:val="003C4832"/>
    <w:rsid w:val="003C5105"/>
    <w:rsid w:val="003D20B1"/>
    <w:rsid w:val="003D27F3"/>
    <w:rsid w:val="003E0F7E"/>
    <w:rsid w:val="003E15BD"/>
    <w:rsid w:val="003E54C7"/>
    <w:rsid w:val="003E5E48"/>
    <w:rsid w:val="003E5ED3"/>
    <w:rsid w:val="003E7903"/>
    <w:rsid w:val="003F4CF1"/>
    <w:rsid w:val="00402BB0"/>
    <w:rsid w:val="004076CC"/>
    <w:rsid w:val="00410804"/>
    <w:rsid w:val="00413FA4"/>
    <w:rsid w:val="00421653"/>
    <w:rsid w:val="004270FD"/>
    <w:rsid w:val="004360EC"/>
    <w:rsid w:val="004500FD"/>
    <w:rsid w:val="00454EB4"/>
    <w:rsid w:val="0045607D"/>
    <w:rsid w:val="00456767"/>
    <w:rsid w:val="00457636"/>
    <w:rsid w:val="0045774A"/>
    <w:rsid w:val="00462D47"/>
    <w:rsid w:val="00463456"/>
    <w:rsid w:val="00463A8B"/>
    <w:rsid w:val="00466B6E"/>
    <w:rsid w:val="0047222E"/>
    <w:rsid w:val="004765FD"/>
    <w:rsid w:val="00481971"/>
    <w:rsid w:val="004845BE"/>
    <w:rsid w:val="00490B30"/>
    <w:rsid w:val="00497901"/>
    <w:rsid w:val="004A1431"/>
    <w:rsid w:val="004A1C02"/>
    <w:rsid w:val="004A2028"/>
    <w:rsid w:val="004B4373"/>
    <w:rsid w:val="004B4BA8"/>
    <w:rsid w:val="004B5693"/>
    <w:rsid w:val="004B7A81"/>
    <w:rsid w:val="004C3379"/>
    <w:rsid w:val="004C3512"/>
    <w:rsid w:val="004D5BA5"/>
    <w:rsid w:val="004E1EF5"/>
    <w:rsid w:val="004E4046"/>
    <w:rsid w:val="004E5304"/>
    <w:rsid w:val="004E677D"/>
    <w:rsid w:val="004E69C8"/>
    <w:rsid w:val="004F0596"/>
    <w:rsid w:val="004F3B14"/>
    <w:rsid w:val="004F4D34"/>
    <w:rsid w:val="004F4F3F"/>
    <w:rsid w:val="004F6BAF"/>
    <w:rsid w:val="0050196F"/>
    <w:rsid w:val="005066CD"/>
    <w:rsid w:val="005068D5"/>
    <w:rsid w:val="005127B6"/>
    <w:rsid w:val="005132CE"/>
    <w:rsid w:val="005139FB"/>
    <w:rsid w:val="00514BE2"/>
    <w:rsid w:val="00515E7D"/>
    <w:rsid w:val="00516995"/>
    <w:rsid w:val="005169AE"/>
    <w:rsid w:val="00520360"/>
    <w:rsid w:val="00523066"/>
    <w:rsid w:val="00523DE0"/>
    <w:rsid w:val="00527A43"/>
    <w:rsid w:val="005316C6"/>
    <w:rsid w:val="00531AD3"/>
    <w:rsid w:val="00533FFE"/>
    <w:rsid w:val="0053543F"/>
    <w:rsid w:val="00536979"/>
    <w:rsid w:val="00541743"/>
    <w:rsid w:val="00541FB6"/>
    <w:rsid w:val="005436B1"/>
    <w:rsid w:val="00547BB9"/>
    <w:rsid w:val="00552674"/>
    <w:rsid w:val="005527D9"/>
    <w:rsid w:val="00561DD9"/>
    <w:rsid w:val="005630F9"/>
    <w:rsid w:val="005669A4"/>
    <w:rsid w:val="00567083"/>
    <w:rsid w:val="00570C80"/>
    <w:rsid w:val="00573A6C"/>
    <w:rsid w:val="00573AF6"/>
    <w:rsid w:val="00576EF9"/>
    <w:rsid w:val="005815A2"/>
    <w:rsid w:val="00586DEE"/>
    <w:rsid w:val="00587F27"/>
    <w:rsid w:val="00596AD5"/>
    <w:rsid w:val="005A08C6"/>
    <w:rsid w:val="005A0B00"/>
    <w:rsid w:val="005A56E5"/>
    <w:rsid w:val="005A6C91"/>
    <w:rsid w:val="005B08CB"/>
    <w:rsid w:val="005B0D20"/>
    <w:rsid w:val="005B1FC8"/>
    <w:rsid w:val="005B52ED"/>
    <w:rsid w:val="005B720C"/>
    <w:rsid w:val="005C0252"/>
    <w:rsid w:val="005C0473"/>
    <w:rsid w:val="005C0EE2"/>
    <w:rsid w:val="005C5BC6"/>
    <w:rsid w:val="005C79CD"/>
    <w:rsid w:val="005D0291"/>
    <w:rsid w:val="005D0609"/>
    <w:rsid w:val="005D13EF"/>
    <w:rsid w:val="005D37F5"/>
    <w:rsid w:val="005E6007"/>
    <w:rsid w:val="005E77C6"/>
    <w:rsid w:val="005F0B75"/>
    <w:rsid w:val="005F1CF8"/>
    <w:rsid w:val="005F5197"/>
    <w:rsid w:val="0060036A"/>
    <w:rsid w:val="0060251B"/>
    <w:rsid w:val="00603A4D"/>
    <w:rsid w:val="00605B4A"/>
    <w:rsid w:val="00605CE5"/>
    <w:rsid w:val="00605E98"/>
    <w:rsid w:val="00613311"/>
    <w:rsid w:val="006141B4"/>
    <w:rsid w:val="0061438D"/>
    <w:rsid w:val="00614407"/>
    <w:rsid w:val="006173F0"/>
    <w:rsid w:val="00620465"/>
    <w:rsid w:val="00620C1D"/>
    <w:rsid w:val="00622DCC"/>
    <w:rsid w:val="00625816"/>
    <w:rsid w:val="006367B3"/>
    <w:rsid w:val="0064104E"/>
    <w:rsid w:val="00641B94"/>
    <w:rsid w:val="00641DFD"/>
    <w:rsid w:val="00642D0E"/>
    <w:rsid w:val="006447C2"/>
    <w:rsid w:val="006501A6"/>
    <w:rsid w:val="00650644"/>
    <w:rsid w:val="00653809"/>
    <w:rsid w:val="006549BE"/>
    <w:rsid w:val="00655353"/>
    <w:rsid w:val="006562DA"/>
    <w:rsid w:val="00670B2B"/>
    <w:rsid w:val="0067103F"/>
    <w:rsid w:val="00671846"/>
    <w:rsid w:val="0067305C"/>
    <w:rsid w:val="00675835"/>
    <w:rsid w:val="006804B3"/>
    <w:rsid w:val="00693C23"/>
    <w:rsid w:val="006A7DE7"/>
    <w:rsid w:val="006B2381"/>
    <w:rsid w:val="006B5656"/>
    <w:rsid w:val="006C2562"/>
    <w:rsid w:val="006C283E"/>
    <w:rsid w:val="006C491B"/>
    <w:rsid w:val="006C6DEB"/>
    <w:rsid w:val="006D0AC4"/>
    <w:rsid w:val="006D22EC"/>
    <w:rsid w:val="006D6743"/>
    <w:rsid w:val="006E0C9D"/>
    <w:rsid w:val="006E34B6"/>
    <w:rsid w:val="006E5293"/>
    <w:rsid w:val="006F4AA9"/>
    <w:rsid w:val="006F598F"/>
    <w:rsid w:val="006F7077"/>
    <w:rsid w:val="007012BF"/>
    <w:rsid w:val="00701842"/>
    <w:rsid w:val="0070312F"/>
    <w:rsid w:val="0070413E"/>
    <w:rsid w:val="00705C85"/>
    <w:rsid w:val="00712EAE"/>
    <w:rsid w:val="00716D5D"/>
    <w:rsid w:val="00723859"/>
    <w:rsid w:val="00723C75"/>
    <w:rsid w:val="00724F82"/>
    <w:rsid w:val="0072699C"/>
    <w:rsid w:val="00731D5D"/>
    <w:rsid w:val="00735C23"/>
    <w:rsid w:val="00737C9A"/>
    <w:rsid w:val="007407EA"/>
    <w:rsid w:val="00740CF7"/>
    <w:rsid w:val="00741EA2"/>
    <w:rsid w:val="00742DFE"/>
    <w:rsid w:val="0074587A"/>
    <w:rsid w:val="0074638D"/>
    <w:rsid w:val="00753447"/>
    <w:rsid w:val="00754F94"/>
    <w:rsid w:val="00754F9A"/>
    <w:rsid w:val="0076038B"/>
    <w:rsid w:val="00765E2F"/>
    <w:rsid w:val="0077203C"/>
    <w:rsid w:val="007741A0"/>
    <w:rsid w:val="0077520E"/>
    <w:rsid w:val="00783A88"/>
    <w:rsid w:val="00785B33"/>
    <w:rsid w:val="0078617E"/>
    <w:rsid w:val="007912C0"/>
    <w:rsid w:val="00792308"/>
    <w:rsid w:val="00796B4A"/>
    <w:rsid w:val="007A02C1"/>
    <w:rsid w:val="007A25FB"/>
    <w:rsid w:val="007A2B7E"/>
    <w:rsid w:val="007B6472"/>
    <w:rsid w:val="007B73FF"/>
    <w:rsid w:val="007C14E2"/>
    <w:rsid w:val="007C46DE"/>
    <w:rsid w:val="007C47A6"/>
    <w:rsid w:val="007D0201"/>
    <w:rsid w:val="007D0F20"/>
    <w:rsid w:val="007D4AA9"/>
    <w:rsid w:val="007D536F"/>
    <w:rsid w:val="007E0588"/>
    <w:rsid w:val="007E2F40"/>
    <w:rsid w:val="007E46E6"/>
    <w:rsid w:val="007E4FCE"/>
    <w:rsid w:val="007E55D3"/>
    <w:rsid w:val="007F2509"/>
    <w:rsid w:val="007F3011"/>
    <w:rsid w:val="007F4D73"/>
    <w:rsid w:val="007F713A"/>
    <w:rsid w:val="00801993"/>
    <w:rsid w:val="008036F0"/>
    <w:rsid w:val="00813B8C"/>
    <w:rsid w:val="008158F2"/>
    <w:rsid w:val="008177D8"/>
    <w:rsid w:val="008250C9"/>
    <w:rsid w:val="00825855"/>
    <w:rsid w:val="008310F0"/>
    <w:rsid w:val="00831ECD"/>
    <w:rsid w:val="00837B3B"/>
    <w:rsid w:val="008418FE"/>
    <w:rsid w:val="00844079"/>
    <w:rsid w:val="00844651"/>
    <w:rsid w:val="0084786F"/>
    <w:rsid w:val="008478BD"/>
    <w:rsid w:val="00847AD0"/>
    <w:rsid w:val="00850D84"/>
    <w:rsid w:val="008522D9"/>
    <w:rsid w:val="0085387F"/>
    <w:rsid w:val="00854DB6"/>
    <w:rsid w:val="00856451"/>
    <w:rsid w:val="0085768C"/>
    <w:rsid w:val="0086172E"/>
    <w:rsid w:val="0086369D"/>
    <w:rsid w:val="00863AB7"/>
    <w:rsid w:val="00864BA8"/>
    <w:rsid w:val="008652C0"/>
    <w:rsid w:val="00866492"/>
    <w:rsid w:val="00872DCE"/>
    <w:rsid w:val="00873044"/>
    <w:rsid w:val="008753B1"/>
    <w:rsid w:val="00876079"/>
    <w:rsid w:val="008769F7"/>
    <w:rsid w:val="00877A9C"/>
    <w:rsid w:val="00884FE8"/>
    <w:rsid w:val="00885640"/>
    <w:rsid w:val="00890CA3"/>
    <w:rsid w:val="00891AAE"/>
    <w:rsid w:val="0089580E"/>
    <w:rsid w:val="008A34E6"/>
    <w:rsid w:val="008A3908"/>
    <w:rsid w:val="008A4D91"/>
    <w:rsid w:val="008B088C"/>
    <w:rsid w:val="008B23C4"/>
    <w:rsid w:val="008B72DC"/>
    <w:rsid w:val="008C30C3"/>
    <w:rsid w:val="008C7632"/>
    <w:rsid w:val="008D0838"/>
    <w:rsid w:val="008D3DE6"/>
    <w:rsid w:val="008D497E"/>
    <w:rsid w:val="008E69A6"/>
    <w:rsid w:val="008F0C28"/>
    <w:rsid w:val="008F178C"/>
    <w:rsid w:val="008F2060"/>
    <w:rsid w:val="00902147"/>
    <w:rsid w:val="009028BC"/>
    <w:rsid w:val="00902C35"/>
    <w:rsid w:val="00906191"/>
    <w:rsid w:val="00912880"/>
    <w:rsid w:val="0091290A"/>
    <w:rsid w:val="00912938"/>
    <w:rsid w:val="00914753"/>
    <w:rsid w:val="00922DCA"/>
    <w:rsid w:val="0093263F"/>
    <w:rsid w:val="0093315F"/>
    <w:rsid w:val="00934611"/>
    <w:rsid w:val="00934F08"/>
    <w:rsid w:val="009407A6"/>
    <w:rsid w:val="00940A01"/>
    <w:rsid w:val="009416A0"/>
    <w:rsid w:val="00944DAF"/>
    <w:rsid w:val="009525DB"/>
    <w:rsid w:val="00962481"/>
    <w:rsid w:val="00963A74"/>
    <w:rsid w:val="00964F1F"/>
    <w:rsid w:val="009704F5"/>
    <w:rsid w:val="00972C66"/>
    <w:rsid w:val="00976930"/>
    <w:rsid w:val="00977664"/>
    <w:rsid w:val="009816B8"/>
    <w:rsid w:val="00987719"/>
    <w:rsid w:val="00997D84"/>
    <w:rsid w:val="009A052F"/>
    <w:rsid w:val="009A0FDF"/>
    <w:rsid w:val="009A6A87"/>
    <w:rsid w:val="009A6B98"/>
    <w:rsid w:val="009A791E"/>
    <w:rsid w:val="009B218A"/>
    <w:rsid w:val="009B4A31"/>
    <w:rsid w:val="009B6C4D"/>
    <w:rsid w:val="009C039C"/>
    <w:rsid w:val="009C2924"/>
    <w:rsid w:val="009C591A"/>
    <w:rsid w:val="009C73B4"/>
    <w:rsid w:val="009C7B43"/>
    <w:rsid w:val="009C7B4B"/>
    <w:rsid w:val="009D5C17"/>
    <w:rsid w:val="009E5FA2"/>
    <w:rsid w:val="009F0303"/>
    <w:rsid w:val="009F1112"/>
    <w:rsid w:val="009F3074"/>
    <w:rsid w:val="009F4A9A"/>
    <w:rsid w:val="009F78E6"/>
    <w:rsid w:val="00A00A81"/>
    <w:rsid w:val="00A01F88"/>
    <w:rsid w:val="00A03462"/>
    <w:rsid w:val="00A03DAD"/>
    <w:rsid w:val="00A05C42"/>
    <w:rsid w:val="00A06CF7"/>
    <w:rsid w:val="00A10EE1"/>
    <w:rsid w:val="00A11F0D"/>
    <w:rsid w:val="00A1250C"/>
    <w:rsid w:val="00A13655"/>
    <w:rsid w:val="00A13FCA"/>
    <w:rsid w:val="00A2377F"/>
    <w:rsid w:val="00A272D9"/>
    <w:rsid w:val="00A30BBC"/>
    <w:rsid w:val="00A30F40"/>
    <w:rsid w:val="00A3367E"/>
    <w:rsid w:val="00A40893"/>
    <w:rsid w:val="00A44BEA"/>
    <w:rsid w:val="00A45A75"/>
    <w:rsid w:val="00A4722C"/>
    <w:rsid w:val="00A47864"/>
    <w:rsid w:val="00A50CC9"/>
    <w:rsid w:val="00A53874"/>
    <w:rsid w:val="00A5497A"/>
    <w:rsid w:val="00A55C1F"/>
    <w:rsid w:val="00A65313"/>
    <w:rsid w:val="00A671D1"/>
    <w:rsid w:val="00A678FF"/>
    <w:rsid w:val="00A70207"/>
    <w:rsid w:val="00A72D49"/>
    <w:rsid w:val="00A74D9F"/>
    <w:rsid w:val="00A77B9E"/>
    <w:rsid w:val="00A77D06"/>
    <w:rsid w:val="00A812FE"/>
    <w:rsid w:val="00A81AD5"/>
    <w:rsid w:val="00A83DD6"/>
    <w:rsid w:val="00A8430F"/>
    <w:rsid w:val="00A875B3"/>
    <w:rsid w:val="00A908FD"/>
    <w:rsid w:val="00A90993"/>
    <w:rsid w:val="00A90FC0"/>
    <w:rsid w:val="00A925FF"/>
    <w:rsid w:val="00A9418E"/>
    <w:rsid w:val="00A96405"/>
    <w:rsid w:val="00A96C00"/>
    <w:rsid w:val="00AA0ACF"/>
    <w:rsid w:val="00AA2517"/>
    <w:rsid w:val="00AA7A8E"/>
    <w:rsid w:val="00AA7C36"/>
    <w:rsid w:val="00AB0FE5"/>
    <w:rsid w:val="00AB724F"/>
    <w:rsid w:val="00AC156E"/>
    <w:rsid w:val="00AC2C12"/>
    <w:rsid w:val="00AC6477"/>
    <w:rsid w:val="00AD4334"/>
    <w:rsid w:val="00AD556E"/>
    <w:rsid w:val="00AE2836"/>
    <w:rsid w:val="00AF319A"/>
    <w:rsid w:val="00AF5203"/>
    <w:rsid w:val="00AF5304"/>
    <w:rsid w:val="00AF747C"/>
    <w:rsid w:val="00B01D26"/>
    <w:rsid w:val="00B02A1A"/>
    <w:rsid w:val="00B0368C"/>
    <w:rsid w:val="00B04BD0"/>
    <w:rsid w:val="00B067FF"/>
    <w:rsid w:val="00B073CC"/>
    <w:rsid w:val="00B11CA1"/>
    <w:rsid w:val="00B12B49"/>
    <w:rsid w:val="00B12CA7"/>
    <w:rsid w:val="00B13647"/>
    <w:rsid w:val="00B154C4"/>
    <w:rsid w:val="00B15A11"/>
    <w:rsid w:val="00B20D15"/>
    <w:rsid w:val="00B20FDD"/>
    <w:rsid w:val="00B21014"/>
    <w:rsid w:val="00B30498"/>
    <w:rsid w:val="00B327FA"/>
    <w:rsid w:val="00B3382E"/>
    <w:rsid w:val="00B34B7D"/>
    <w:rsid w:val="00B36E2B"/>
    <w:rsid w:val="00B43F87"/>
    <w:rsid w:val="00B53A38"/>
    <w:rsid w:val="00B543D6"/>
    <w:rsid w:val="00B5661B"/>
    <w:rsid w:val="00B571C7"/>
    <w:rsid w:val="00B611EA"/>
    <w:rsid w:val="00B63139"/>
    <w:rsid w:val="00B669EE"/>
    <w:rsid w:val="00B73B5F"/>
    <w:rsid w:val="00B8399B"/>
    <w:rsid w:val="00B847C1"/>
    <w:rsid w:val="00B94277"/>
    <w:rsid w:val="00B96D3D"/>
    <w:rsid w:val="00BA1E77"/>
    <w:rsid w:val="00BB22D2"/>
    <w:rsid w:val="00BB4219"/>
    <w:rsid w:val="00BB67F8"/>
    <w:rsid w:val="00BC0199"/>
    <w:rsid w:val="00BC1287"/>
    <w:rsid w:val="00BC24CF"/>
    <w:rsid w:val="00BD103C"/>
    <w:rsid w:val="00BD2914"/>
    <w:rsid w:val="00BD3EF3"/>
    <w:rsid w:val="00BE12FC"/>
    <w:rsid w:val="00BE5B96"/>
    <w:rsid w:val="00BE789A"/>
    <w:rsid w:val="00BF1555"/>
    <w:rsid w:val="00BF6632"/>
    <w:rsid w:val="00C002DC"/>
    <w:rsid w:val="00C03971"/>
    <w:rsid w:val="00C058FE"/>
    <w:rsid w:val="00C0666B"/>
    <w:rsid w:val="00C12199"/>
    <w:rsid w:val="00C12C05"/>
    <w:rsid w:val="00C13470"/>
    <w:rsid w:val="00C23364"/>
    <w:rsid w:val="00C2656D"/>
    <w:rsid w:val="00C30506"/>
    <w:rsid w:val="00C3064E"/>
    <w:rsid w:val="00C321A9"/>
    <w:rsid w:val="00C33B5F"/>
    <w:rsid w:val="00C36F18"/>
    <w:rsid w:val="00C4543C"/>
    <w:rsid w:val="00C4634F"/>
    <w:rsid w:val="00C5067B"/>
    <w:rsid w:val="00C508D3"/>
    <w:rsid w:val="00C51D20"/>
    <w:rsid w:val="00C5752C"/>
    <w:rsid w:val="00C612E3"/>
    <w:rsid w:val="00C636D4"/>
    <w:rsid w:val="00C700A4"/>
    <w:rsid w:val="00C7357B"/>
    <w:rsid w:val="00C80803"/>
    <w:rsid w:val="00C814CC"/>
    <w:rsid w:val="00C81E77"/>
    <w:rsid w:val="00C83FBF"/>
    <w:rsid w:val="00C93AAE"/>
    <w:rsid w:val="00C95884"/>
    <w:rsid w:val="00C968EE"/>
    <w:rsid w:val="00CA3887"/>
    <w:rsid w:val="00CA4D48"/>
    <w:rsid w:val="00CA7C74"/>
    <w:rsid w:val="00CB41EB"/>
    <w:rsid w:val="00CB4943"/>
    <w:rsid w:val="00CC0207"/>
    <w:rsid w:val="00CC6D52"/>
    <w:rsid w:val="00CD0478"/>
    <w:rsid w:val="00CD2490"/>
    <w:rsid w:val="00CD290A"/>
    <w:rsid w:val="00CD2F28"/>
    <w:rsid w:val="00CD40D3"/>
    <w:rsid w:val="00CD5F5D"/>
    <w:rsid w:val="00CE0FC3"/>
    <w:rsid w:val="00CE6D6A"/>
    <w:rsid w:val="00CF12D6"/>
    <w:rsid w:val="00CF31F4"/>
    <w:rsid w:val="00CF3B73"/>
    <w:rsid w:val="00D0132E"/>
    <w:rsid w:val="00D01CC6"/>
    <w:rsid w:val="00D0290E"/>
    <w:rsid w:val="00D0300E"/>
    <w:rsid w:val="00D04E8B"/>
    <w:rsid w:val="00D07B63"/>
    <w:rsid w:val="00D132A8"/>
    <w:rsid w:val="00D13455"/>
    <w:rsid w:val="00D1388F"/>
    <w:rsid w:val="00D17EF6"/>
    <w:rsid w:val="00D215B3"/>
    <w:rsid w:val="00D24DFB"/>
    <w:rsid w:val="00D25E74"/>
    <w:rsid w:val="00D26E88"/>
    <w:rsid w:val="00D309D3"/>
    <w:rsid w:val="00D349A4"/>
    <w:rsid w:val="00D34CB1"/>
    <w:rsid w:val="00D37994"/>
    <w:rsid w:val="00D405B7"/>
    <w:rsid w:val="00D431A8"/>
    <w:rsid w:val="00D442DC"/>
    <w:rsid w:val="00D451DB"/>
    <w:rsid w:val="00D45797"/>
    <w:rsid w:val="00D5079F"/>
    <w:rsid w:val="00D53587"/>
    <w:rsid w:val="00D552D0"/>
    <w:rsid w:val="00D5755B"/>
    <w:rsid w:val="00D62451"/>
    <w:rsid w:val="00D66865"/>
    <w:rsid w:val="00D71FF9"/>
    <w:rsid w:val="00D72083"/>
    <w:rsid w:val="00D87C1A"/>
    <w:rsid w:val="00D87EF1"/>
    <w:rsid w:val="00D903C8"/>
    <w:rsid w:val="00D93ED2"/>
    <w:rsid w:val="00D958B0"/>
    <w:rsid w:val="00D96B06"/>
    <w:rsid w:val="00DA02C4"/>
    <w:rsid w:val="00DA0484"/>
    <w:rsid w:val="00DA0A92"/>
    <w:rsid w:val="00DA109F"/>
    <w:rsid w:val="00DA284D"/>
    <w:rsid w:val="00DA3AEE"/>
    <w:rsid w:val="00DA4666"/>
    <w:rsid w:val="00DA4ACC"/>
    <w:rsid w:val="00DA5BD6"/>
    <w:rsid w:val="00DB0648"/>
    <w:rsid w:val="00DB2410"/>
    <w:rsid w:val="00DB64D9"/>
    <w:rsid w:val="00DD01F2"/>
    <w:rsid w:val="00DD2D26"/>
    <w:rsid w:val="00DD41E8"/>
    <w:rsid w:val="00DD5FFA"/>
    <w:rsid w:val="00DE1317"/>
    <w:rsid w:val="00DE4DC0"/>
    <w:rsid w:val="00DF3953"/>
    <w:rsid w:val="00E02979"/>
    <w:rsid w:val="00E02B8D"/>
    <w:rsid w:val="00E03FF2"/>
    <w:rsid w:val="00E04502"/>
    <w:rsid w:val="00E04C28"/>
    <w:rsid w:val="00E04D0F"/>
    <w:rsid w:val="00E1204B"/>
    <w:rsid w:val="00E13C7C"/>
    <w:rsid w:val="00E14D25"/>
    <w:rsid w:val="00E1542E"/>
    <w:rsid w:val="00E230DB"/>
    <w:rsid w:val="00E23F3C"/>
    <w:rsid w:val="00E27E37"/>
    <w:rsid w:val="00E32DEC"/>
    <w:rsid w:val="00E32F5A"/>
    <w:rsid w:val="00E363DA"/>
    <w:rsid w:val="00E36598"/>
    <w:rsid w:val="00E371C1"/>
    <w:rsid w:val="00E4096A"/>
    <w:rsid w:val="00E415A6"/>
    <w:rsid w:val="00E415EF"/>
    <w:rsid w:val="00E45800"/>
    <w:rsid w:val="00E4688B"/>
    <w:rsid w:val="00E476B3"/>
    <w:rsid w:val="00E52A9F"/>
    <w:rsid w:val="00E54421"/>
    <w:rsid w:val="00E56A53"/>
    <w:rsid w:val="00E56B52"/>
    <w:rsid w:val="00E63911"/>
    <w:rsid w:val="00E64BAF"/>
    <w:rsid w:val="00E670A6"/>
    <w:rsid w:val="00E670FB"/>
    <w:rsid w:val="00E70B0B"/>
    <w:rsid w:val="00E71DE3"/>
    <w:rsid w:val="00E742A9"/>
    <w:rsid w:val="00E746E5"/>
    <w:rsid w:val="00E74E7D"/>
    <w:rsid w:val="00E77AE4"/>
    <w:rsid w:val="00E81B29"/>
    <w:rsid w:val="00E8292F"/>
    <w:rsid w:val="00E8385D"/>
    <w:rsid w:val="00E874B5"/>
    <w:rsid w:val="00E8797B"/>
    <w:rsid w:val="00E91846"/>
    <w:rsid w:val="00E931FE"/>
    <w:rsid w:val="00E937A0"/>
    <w:rsid w:val="00EB34AF"/>
    <w:rsid w:val="00EB6C83"/>
    <w:rsid w:val="00EC0018"/>
    <w:rsid w:val="00ED006B"/>
    <w:rsid w:val="00ED1FEA"/>
    <w:rsid w:val="00ED5DE2"/>
    <w:rsid w:val="00EE0412"/>
    <w:rsid w:val="00EF3817"/>
    <w:rsid w:val="00EF39ED"/>
    <w:rsid w:val="00EF6000"/>
    <w:rsid w:val="00EF793C"/>
    <w:rsid w:val="00F02C0B"/>
    <w:rsid w:val="00F06A09"/>
    <w:rsid w:val="00F12C61"/>
    <w:rsid w:val="00F138C0"/>
    <w:rsid w:val="00F16CAA"/>
    <w:rsid w:val="00F45F4D"/>
    <w:rsid w:val="00F47208"/>
    <w:rsid w:val="00F56975"/>
    <w:rsid w:val="00F612AC"/>
    <w:rsid w:val="00F6728F"/>
    <w:rsid w:val="00F7199A"/>
    <w:rsid w:val="00F72EE3"/>
    <w:rsid w:val="00F74009"/>
    <w:rsid w:val="00F753D6"/>
    <w:rsid w:val="00F76E18"/>
    <w:rsid w:val="00F80AC6"/>
    <w:rsid w:val="00F8790D"/>
    <w:rsid w:val="00F90527"/>
    <w:rsid w:val="00F926D7"/>
    <w:rsid w:val="00F92DB5"/>
    <w:rsid w:val="00F941E9"/>
    <w:rsid w:val="00F9584C"/>
    <w:rsid w:val="00FA1679"/>
    <w:rsid w:val="00FA16AC"/>
    <w:rsid w:val="00FA2B8A"/>
    <w:rsid w:val="00FA335A"/>
    <w:rsid w:val="00FA4051"/>
    <w:rsid w:val="00FA45A6"/>
    <w:rsid w:val="00FA58B1"/>
    <w:rsid w:val="00FA5BC9"/>
    <w:rsid w:val="00FB34D2"/>
    <w:rsid w:val="00FB536D"/>
    <w:rsid w:val="00FB68AC"/>
    <w:rsid w:val="00FC0E1A"/>
    <w:rsid w:val="00FC1F3F"/>
    <w:rsid w:val="00FC6200"/>
    <w:rsid w:val="00FC7CAA"/>
    <w:rsid w:val="00FE097E"/>
    <w:rsid w:val="00FE25A7"/>
    <w:rsid w:val="00FE2A7F"/>
    <w:rsid w:val="00FE484F"/>
    <w:rsid w:val="00FE49E4"/>
    <w:rsid w:val="00FF3FF8"/>
    <w:rsid w:val="00FF43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2B72"/>
  <w15:chartTrackingRefBased/>
  <w15:docId w15:val="{6E6F6330-E25F-8441-B2D0-0DA354D69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1"/>
    <w:qFormat/>
    <w:rsid w:val="0060036A"/>
    <w:pPr>
      <w:keepNext/>
      <w:keepLines/>
      <w:spacing w:before="240"/>
      <w:outlineLvl w:val="0"/>
    </w:pPr>
    <w:rPr>
      <w:rFonts w:asciiTheme="majorHAnsi" w:eastAsiaTheme="majorEastAsia" w:hAnsiTheme="majorHAnsi" w:cstheme="majorBidi"/>
      <w:color w:val="0F4761" w:themeColor="accent1" w:themeShade="BF"/>
      <w:kern w:val="0"/>
      <w:sz w:val="32"/>
      <w:szCs w:val="32"/>
      <w:lang w:val="en-ID"/>
      <w14:ligatures w14:val="none"/>
    </w:rPr>
  </w:style>
  <w:style w:type="paragraph" w:styleId="Heading2">
    <w:name w:val="heading 2"/>
    <w:basedOn w:val="Normal"/>
    <w:next w:val="Normal"/>
    <w:link w:val="Heading2Char"/>
    <w:uiPriority w:val="9"/>
    <w:semiHidden/>
    <w:unhideWhenUsed/>
    <w:qFormat/>
    <w:rsid w:val="009028BC"/>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link w:val="Heading3Char"/>
    <w:uiPriority w:val="9"/>
    <w:qFormat/>
    <w:rsid w:val="00F7199A"/>
    <w:pPr>
      <w:spacing w:before="100" w:beforeAutospacing="1" w:after="100" w:afterAutospacing="1"/>
      <w:outlineLvl w:val="2"/>
    </w:pPr>
    <w:rPr>
      <w:rFonts w:ascii="Times New Roman" w:eastAsia="Times New Roman" w:hAnsi="Times New Roman" w:cs="Times New Roman"/>
      <w:b/>
      <w:bCs/>
      <w:kern w:val="0"/>
      <w:sz w:val="27"/>
      <w:szCs w:val="27"/>
      <w:lang w:val="en-ID"/>
      <w14:ligatures w14:val="none"/>
    </w:rPr>
  </w:style>
  <w:style w:type="paragraph" w:styleId="Heading4">
    <w:name w:val="heading 4"/>
    <w:basedOn w:val="Normal"/>
    <w:next w:val="Normal"/>
    <w:link w:val="Heading4Char"/>
    <w:uiPriority w:val="9"/>
    <w:semiHidden/>
    <w:unhideWhenUsed/>
    <w:qFormat/>
    <w:rsid w:val="007C14E2"/>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199A"/>
    <w:pPr>
      <w:spacing w:before="100" w:beforeAutospacing="1" w:after="100" w:afterAutospacing="1"/>
    </w:pPr>
    <w:rPr>
      <w:rFonts w:ascii="Times New Roman" w:eastAsia="Times New Roman" w:hAnsi="Times New Roman" w:cs="Times New Roman"/>
      <w:kern w:val="0"/>
      <w:lang w:val="en-ID"/>
      <w14:ligatures w14:val="none"/>
    </w:rPr>
  </w:style>
  <w:style w:type="character" w:customStyle="1" w:styleId="Heading3Char">
    <w:name w:val="Heading 3 Char"/>
    <w:basedOn w:val="DefaultParagraphFont"/>
    <w:link w:val="Heading3"/>
    <w:uiPriority w:val="9"/>
    <w:rsid w:val="00F7199A"/>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F7199A"/>
    <w:rPr>
      <w:b/>
      <w:bCs/>
    </w:rPr>
  </w:style>
  <w:style w:type="table" w:styleId="TableGrid">
    <w:name w:val="Table Grid"/>
    <w:basedOn w:val="TableNormal"/>
    <w:uiPriority w:val="59"/>
    <w:rsid w:val="00A702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B96D3D"/>
    <w:pPr>
      <w:ind w:left="720"/>
      <w:contextualSpacing/>
    </w:pPr>
  </w:style>
  <w:style w:type="character" w:styleId="Hyperlink">
    <w:name w:val="Hyperlink"/>
    <w:basedOn w:val="DefaultParagraphFont"/>
    <w:uiPriority w:val="99"/>
    <w:unhideWhenUsed/>
    <w:rsid w:val="00F6728F"/>
    <w:rPr>
      <w:color w:val="467886" w:themeColor="hyperlink"/>
      <w:u w:val="single"/>
    </w:rPr>
  </w:style>
  <w:style w:type="character" w:customStyle="1" w:styleId="Heading1Char">
    <w:name w:val="Heading 1 Char"/>
    <w:basedOn w:val="DefaultParagraphFont"/>
    <w:link w:val="Heading1"/>
    <w:uiPriority w:val="9"/>
    <w:rsid w:val="0060036A"/>
    <w:rPr>
      <w:rFonts w:asciiTheme="majorHAnsi" w:eastAsiaTheme="majorEastAsia" w:hAnsiTheme="majorHAnsi" w:cstheme="majorBidi"/>
      <w:color w:val="0F4761" w:themeColor="accent1" w:themeShade="BF"/>
      <w:kern w:val="0"/>
      <w:sz w:val="32"/>
      <w:szCs w:val="32"/>
      <w14:ligatures w14:val="none"/>
    </w:rPr>
  </w:style>
  <w:style w:type="paragraph" w:styleId="Header">
    <w:name w:val="header"/>
    <w:basedOn w:val="Normal"/>
    <w:link w:val="HeaderChar"/>
    <w:uiPriority w:val="99"/>
    <w:unhideWhenUsed/>
    <w:rsid w:val="004845BE"/>
    <w:pPr>
      <w:tabs>
        <w:tab w:val="center" w:pos="4680"/>
        <w:tab w:val="right" w:pos="9360"/>
      </w:tabs>
    </w:pPr>
  </w:style>
  <w:style w:type="character" w:customStyle="1" w:styleId="HeaderChar">
    <w:name w:val="Header Char"/>
    <w:basedOn w:val="DefaultParagraphFont"/>
    <w:link w:val="Header"/>
    <w:uiPriority w:val="99"/>
    <w:rsid w:val="004845BE"/>
    <w:rPr>
      <w:lang w:val="en-GB"/>
    </w:rPr>
  </w:style>
  <w:style w:type="paragraph" w:styleId="Footer">
    <w:name w:val="footer"/>
    <w:basedOn w:val="Normal"/>
    <w:link w:val="FooterChar"/>
    <w:uiPriority w:val="99"/>
    <w:unhideWhenUsed/>
    <w:rsid w:val="004845BE"/>
    <w:pPr>
      <w:tabs>
        <w:tab w:val="center" w:pos="4680"/>
        <w:tab w:val="right" w:pos="9360"/>
      </w:tabs>
    </w:pPr>
  </w:style>
  <w:style w:type="character" w:customStyle="1" w:styleId="FooterChar">
    <w:name w:val="Footer Char"/>
    <w:basedOn w:val="DefaultParagraphFont"/>
    <w:link w:val="Footer"/>
    <w:uiPriority w:val="99"/>
    <w:rsid w:val="004845BE"/>
    <w:rPr>
      <w:lang w:val="en-GB"/>
    </w:rPr>
  </w:style>
  <w:style w:type="paragraph" w:styleId="BalloonText">
    <w:name w:val="Balloon Text"/>
    <w:basedOn w:val="Normal"/>
    <w:link w:val="BalloonTextChar"/>
    <w:uiPriority w:val="99"/>
    <w:semiHidden/>
    <w:unhideWhenUsed/>
    <w:rsid w:val="00E45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800"/>
    <w:rPr>
      <w:rFonts w:ascii="Segoe UI" w:hAnsi="Segoe UI" w:cs="Segoe UI"/>
      <w:sz w:val="18"/>
      <w:szCs w:val="18"/>
      <w:lang w:val="en-GB"/>
    </w:rPr>
  </w:style>
  <w:style w:type="paragraph" w:styleId="BodyText">
    <w:name w:val="Body Text"/>
    <w:basedOn w:val="Normal"/>
    <w:link w:val="BodyTextChar"/>
    <w:uiPriority w:val="1"/>
    <w:qFormat/>
    <w:rsid w:val="000A0700"/>
    <w:pPr>
      <w:widowControl w:val="0"/>
      <w:autoSpaceDE w:val="0"/>
      <w:autoSpaceDN w:val="0"/>
      <w:ind w:left="1168"/>
      <w:jc w:val="both"/>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0A0700"/>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0A0700"/>
    <w:pPr>
      <w:widowControl w:val="0"/>
      <w:autoSpaceDE w:val="0"/>
      <w:autoSpaceDN w:val="0"/>
    </w:pPr>
    <w:rPr>
      <w:rFonts w:ascii="Times New Roman" w:eastAsia="Times New Roman" w:hAnsi="Times New Roman" w:cs="Times New Roman"/>
      <w:kern w:val="0"/>
      <w:sz w:val="22"/>
      <w:szCs w:val="22"/>
      <w:lang w:val="id"/>
      <w14:ligatures w14:val="none"/>
    </w:rPr>
  </w:style>
  <w:style w:type="character" w:customStyle="1" w:styleId="uv3um">
    <w:name w:val="uv3um"/>
    <w:basedOn w:val="DefaultParagraphFont"/>
    <w:rsid w:val="00A03462"/>
  </w:style>
  <w:style w:type="character" w:customStyle="1" w:styleId="ListParagraphChar">
    <w:name w:val="List Paragraph Char"/>
    <w:basedOn w:val="DefaultParagraphFont"/>
    <w:link w:val="ListParagraph"/>
    <w:uiPriority w:val="34"/>
    <w:locked/>
    <w:rsid w:val="00A3367E"/>
    <w:rPr>
      <w:lang w:val="en-GB"/>
    </w:rPr>
  </w:style>
  <w:style w:type="character" w:styleId="Emphasis">
    <w:name w:val="Emphasis"/>
    <w:basedOn w:val="DefaultParagraphFont"/>
    <w:uiPriority w:val="20"/>
    <w:qFormat/>
    <w:rsid w:val="00A3367E"/>
    <w:rPr>
      <w:i/>
      <w:iCs/>
    </w:rPr>
  </w:style>
  <w:style w:type="paragraph" w:styleId="FootnoteText">
    <w:name w:val="footnote text"/>
    <w:aliases w:val="Footnote Text Char Char Char Char Char Char,Footnote Text Char Char Char Char Char,Footnote Text Char Char Char,Footnote Text Char Char,Footnote Text Char Char Char Char,Footnote Text Char Char Char Char Char Char Char Char,Char Char,Char"/>
    <w:basedOn w:val="Normal"/>
    <w:link w:val="FootnoteTextChar"/>
    <w:uiPriority w:val="99"/>
    <w:unhideWhenUsed/>
    <w:qFormat/>
    <w:rsid w:val="000D766E"/>
    <w:pPr>
      <w:spacing w:after="200" w:line="276" w:lineRule="auto"/>
    </w:pPr>
    <w:rPr>
      <w:rFonts w:ascii="Calibri" w:eastAsia="Calibri" w:hAnsi="Calibri" w:cs="Times New Roman"/>
      <w:kern w:val="0"/>
      <w:sz w:val="20"/>
      <w:szCs w:val="20"/>
      <w:lang w:val="id-ID"/>
      <w14:ligatures w14:val="none"/>
    </w:rPr>
  </w:style>
  <w:style w:type="character" w:customStyle="1" w:styleId="FootnoteTextChar">
    <w:name w:val="Footnote Text Char"/>
    <w:aliases w:val="Footnote Text Char Char Char Char Char Char Char,Footnote Text Char Char Char Char Char Char1,Footnote Text Char Char Char Char1,Footnote Text Char Char Char1,Footnote Text Char Char Char Char Char1,Char Char Char,Char Char1"/>
    <w:basedOn w:val="DefaultParagraphFont"/>
    <w:link w:val="FootnoteText"/>
    <w:uiPriority w:val="99"/>
    <w:qFormat/>
    <w:rsid w:val="000D766E"/>
    <w:rPr>
      <w:rFonts w:ascii="Calibri" w:eastAsia="Calibri" w:hAnsi="Calibri" w:cs="Times New Roman"/>
      <w:kern w:val="0"/>
      <w:sz w:val="20"/>
      <w:szCs w:val="20"/>
      <w:lang w:val="id-ID"/>
      <w14:ligatures w14:val="none"/>
    </w:rPr>
  </w:style>
  <w:style w:type="character" w:styleId="FootnoteReference">
    <w:name w:val="footnote reference"/>
    <w:basedOn w:val="DefaultParagraphFont"/>
    <w:uiPriority w:val="99"/>
    <w:unhideWhenUsed/>
    <w:qFormat/>
    <w:rsid w:val="000D766E"/>
    <w:rPr>
      <w:vertAlign w:val="superscript"/>
    </w:rPr>
  </w:style>
  <w:style w:type="paragraph" w:customStyle="1" w:styleId="Abstract">
    <w:name w:val="Abstract"/>
    <w:basedOn w:val="Normal"/>
    <w:link w:val="AbstractChar"/>
    <w:qFormat/>
    <w:rsid w:val="00E742A9"/>
    <w:pPr>
      <w:ind w:left="425" w:right="425"/>
      <w:jc w:val="both"/>
    </w:pPr>
    <w:rPr>
      <w:rFonts w:ascii="Calisto MT" w:eastAsia="Calibri" w:hAnsi="Calisto MT" w:cs="Times New Roman"/>
      <w:kern w:val="0"/>
      <w:sz w:val="20"/>
      <w:lang w:val="en-US"/>
      <w14:ligatures w14:val="none"/>
    </w:rPr>
  </w:style>
  <w:style w:type="character" w:customStyle="1" w:styleId="AbstractChar">
    <w:name w:val="Abstract Char"/>
    <w:link w:val="Abstract"/>
    <w:rsid w:val="00E742A9"/>
    <w:rPr>
      <w:rFonts w:ascii="Calisto MT" w:eastAsia="Calibri" w:hAnsi="Calisto MT" w:cs="Times New Roman"/>
      <w:kern w:val="0"/>
      <w:sz w:val="20"/>
      <w:lang w:val="en-US"/>
      <w14:ligatures w14:val="none"/>
    </w:rPr>
  </w:style>
  <w:style w:type="paragraph" w:customStyle="1" w:styleId="TabelGambar">
    <w:name w:val="Tabel &amp; Gambar"/>
    <w:basedOn w:val="Normal"/>
    <w:link w:val="TabelGambarChar"/>
    <w:qFormat/>
    <w:rsid w:val="00C968EE"/>
    <w:pPr>
      <w:spacing w:after="160"/>
      <w:jc w:val="center"/>
    </w:pPr>
    <w:rPr>
      <w:rFonts w:ascii="Times New Roman" w:eastAsia="Calibri" w:hAnsi="Times New Roman" w:cs="Times New Roman"/>
      <w:kern w:val="0"/>
      <w:szCs w:val="20"/>
      <w:lang w:val="pt-BR" w:eastAsia="pt-BR"/>
      <w14:ligatures w14:val="none"/>
    </w:rPr>
  </w:style>
  <w:style w:type="character" w:customStyle="1" w:styleId="TabelGambarChar">
    <w:name w:val="Tabel &amp; Gambar Char"/>
    <w:link w:val="TabelGambar"/>
    <w:locked/>
    <w:rsid w:val="00C968EE"/>
    <w:rPr>
      <w:rFonts w:ascii="Times New Roman" w:eastAsia="Calibri" w:hAnsi="Times New Roman" w:cs="Times New Roman"/>
      <w:kern w:val="0"/>
      <w:szCs w:val="20"/>
      <w:lang w:val="pt-BR" w:eastAsia="pt-BR"/>
      <w14:ligatures w14:val="none"/>
    </w:rPr>
  </w:style>
  <w:style w:type="paragraph" w:customStyle="1" w:styleId="buatpas">
    <w:name w:val="buat pas"/>
    <w:basedOn w:val="Normal"/>
    <w:link w:val="buatpasChar"/>
    <w:qFormat/>
    <w:rsid w:val="00C968EE"/>
    <w:pPr>
      <w:autoSpaceDE w:val="0"/>
      <w:autoSpaceDN w:val="0"/>
      <w:adjustRightInd w:val="0"/>
      <w:spacing w:line="480" w:lineRule="auto"/>
      <w:ind w:firstLine="720"/>
      <w:jc w:val="both"/>
    </w:pPr>
    <w:rPr>
      <w:rFonts w:ascii="Times New Roman" w:eastAsia="Calibri" w:hAnsi="Times New Roman" w:cs="Times New Roman"/>
      <w:kern w:val="0"/>
      <w:lang w:val="en-US"/>
      <w14:ligatures w14:val="none"/>
    </w:rPr>
  </w:style>
  <w:style w:type="character" w:customStyle="1" w:styleId="buatpasChar">
    <w:name w:val="buat pas Char"/>
    <w:link w:val="buatpas"/>
    <w:rsid w:val="00C968EE"/>
    <w:rPr>
      <w:rFonts w:ascii="Times New Roman" w:eastAsia="Calibri" w:hAnsi="Times New Roman" w:cs="Times New Roman"/>
      <w:kern w:val="0"/>
      <w:lang w:val="en-US"/>
      <w14:ligatures w14:val="none"/>
    </w:rPr>
  </w:style>
  <w:style w:type="character" w:customStyle="1" w:styleId="apple-converted-space">
    <w:name w:val="apple-converted-space"/>
    <w:basedOn w:val="DefaultParagraphFont"/>
    <w:rsid w:val="00866492"/>
  </w:style>
  <w:style w:type="character" w:customStyle="1" w:styleId="whitespace-normal">
    <w:name w:val="whitespace-normal"/>
    <w:basedOn w:val="DefaultParagraphFont"/>
    <w:rsid w:val="00866492"/>
  </w:style>
  <w:style w:type="character" w:customStyle="1" w:styleId="ts-alignment-element">
    <w:name w:val="ts-alignment-element"/>
    <w:basedOn w:val="DefaultParagraphFont"/>
    <w:rsid w:val="00653809"/>
  </w:style>
  <w:style w:type="paragraph" w:customStyle="1" w:styleId="10Isiteks">
    <w:name w:val="10. Isi teks"/>
    <w:basedOn w:val="Normal"/>
    <w:link w:val="10IsiteksChar"/>
    <w:qFormat/>
    <w:rsid w:val="00A01F88"/>
    <w:pPr>
      <w:spacing w:after="120" w:line="280" w:lineRule="auto"/>
      <w:ind w:firstLine="737"/>
      <w:jc w:val="both"/>
    </w:pPr>
    <w:rPr>
      <w:rFonts w:ascii="Minion Pro" w:eastAsia="SimSun" w:hAnsi="Minion Pro" w:cs="Times New Roman"/>
      <w:color w:val="000000"/>
      <w:kern w:val="28"/>
      <w:szCs w:val="20"/>
      <w:lang w:val="id-ID" w:eastAsia="id-ID"/>
      <w14:ligatures w14:val="none"/>
    </w:rPr>
  </w:style>
  <w:style w:type="character" w:customStyle="1" w:styleId="10IsiteksChar">
    <w:name w:val="10. Isi teks Char"/>
    <w:link w:val="10Isiteks"/>
    <w:rsid w:val="00A01F88"/>
    <w:rPr>
      <w:rFonts w:ascii="Minion Pro" w:eastAsia="SimSun" w:hAnsi="Minion Pro" w:cs="Times New Roman"/>
      <w:color w:val="000000"/>
      <w:kern w:val="28"/>
      <w:szCs w:val="20"/>
      <w:lang w:val="id-ID" w:eastAsia="id-ID"/>
      <w14:ligatures w14:val="none"/>
    </w:rPr>
  </w:style>
  <w:style w:type="character" w:customStyle="1" w:styleId="Heading2Char">
    <w:name w:val="Heading 2 Char"/>
    <w:basedOn w:val="DefaultParagraphFont"/>
    <w:link w:val="Heading2"/>
    <w:uiPriority w:val="9"/>
    <w:semiHidden/>
    <w:rsid w:val="009028BC"/>
    <w:rPr>
      <w:rFonts w:asciiTheme="majorHAnsi" w:eastAsiaTheme="majorEastAsia" w:hAnsiTheme="majorHAnsi" w:cstheme="majorBidi"/>
      <w:color w:val="0F4761" w:themeColor="accent1" w:themeShade="BF"/>
      <w:sz w:val="26"/>
      <w:szCs w:val="26"/>
      <w:lang w:val="en-GB"/>
    </w:rPr>
  </w:style>
  <w:style w:type="table" w:styleId="PlainTable2">
    <w:name w:val="Plain Table 2"/>
    <w:basedOn w:val="TableNormal"/>
    <w:uiPriority w:val="42"/>
    <w:rsid w:val="00050586"/>
    <w:rPr>
      <w:rFonts w:ascii="Times New Roman" w:eastAsia="Times New Roman" w:hAnsi="Times New Roman" w:cs="Times New Roman"/>
      <w:kern w:val="0"/>
      <w:lang w:val="en-US"/>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link w:val="TitleChar"/>
    <w:uiPriority w:val="1"/>
    <w:qFormat/>
    <w:rsid w:val="001B6914"/>
    <w:pPr>
      <w:widowControl w:val="0"/>
      <w:autoSpaceDE w:val="0"/>
      <w:autoSpaceDN w:val="0"/>
      <w:spacing w:before="59"/>
      <w:ind w:left="1485" w:right="1480"/>
      <w:jc w:val="center"/>
    </w:pPr>
    <w:rPr>
      <w:rFonts w:ascii="Times New Roman" w:eastAsia="Times New Roman" w:hAnsi="Times New Roman" w:cs="Times New Roman"/>
      <w:b/>
      <w:bCs/>
      <w:kern w:val="0"/>
      <w:sz w:val="28"/>
      <w:szCs w:val="28"/>
      <w:lang w:val="id"/>
      <w14:ligatures w14:val="none"/>
    </w:rPr>
  </w:style>
  <w:style w:type="character" w:customStyle="1" w:styleId="TitleChar">
    <w:name w:val="Title Char"/>
    <w:basedOn w:val="DefaultParagraphFont"/>
    <w:link w:val="Title"/>
    <w:uiPriority w:val="1"/>
    <w:rsid w:val="001B6914"/>
    <w:rPr>
      <w:rFonts w:ascii="Times New Roman" w:eastAsia="Times New Roman" w:hAnsi="Times New Roman" w:cs="Times New Roman"/>
      <w:b/>
      <w:bCs/>
      <w:kern w:val="0"/>
      <w:sz w:val="28"/>
      <w:szCs w:val="28"/>
      <w:lang w:val="id"/>
      <w14:ligatures w14:val="none"/>
    </w:rPr>
  </w:style>
  <w:style w:type="paragraph" w:customStyle="1" w:styleId="isselectedend">
    <w:name w:val="isselectedend"/>
    <w:basedOn w:val="Normal"/>
    <w:rsid w:val="0086369D"/>
    <w:pPr>
      <w:spacing w:before="100" w:beforeAutospacing="1" w:after="100" w:afterAutospacing="1"/>
    </w:pPr>
    <w:rPr>
      <w:rFonts w:ascii="Times New Roman" w:eastAsia="Times New Roman" w:hAnsi="Times New Roman" w:cs="Times New Roman"/>
      <w:kern w:val="0"/>
      <w:lang w:val="en-US"/>
      <w14:ligatures w14:val="none"/>
    </w:rPr>
  </w:style>
  <w:style w:type="paragraph" w:customStyle="1" w:styleId="abstrak">
    <w:name w:val="abstrak"/>
    <w:basedOn w:val="BodyText"/>
    <w:qFormat/>
    <w:rsid w:val="00596AD5"/>
    <w:pPr>
      <w:widowControl/>
      <w:autoSpaceDE/>
      <w:autoSpaceDN/>
      <w:ind w:left="567" w:right="567"/>
    </w:pPr>
    <w:rPr>
      <w:rFonts w:eastAsia="SimSun"/>
      <w:spacing w:val="-1"/>
      <w:sz w:val="20"/>
      <w:lang w:val="en-US"/>
    </w:rPr>
  </w:style>
  <w:style w:type="table" w:customStyle="1" w:styleId="TableGrid0">
    <w:name w:val="TableGrid"/>
    <w:rsid w:val="006B5656"/>
    <w:rPr>
      <w:rFonts w:eastAsiaTheme="minorEastAsia"/>
      <w:lang w:val="id-ID" w:eastAsia="id-ID"/>
    </w:rPr>
    <w:tblPr>
      <w:tblCellMar>
        <w:top w:w="0" w:type="dxa"/>
        <w:left w:w="0" w:type="dxa"/>
        <w:bottom w:w="0" w:type="dxa"/>
        <w:right w:w="0" w:type="dxa"/>
      </w:tblCellMar>
    </w:tblPr>
  </w:style>
  <w:style w:type="paragraph" w:styleId="Bibliography">
    <w:name w:val="Bibliography"/>
    <w:basedOn w:val="Normal"/>
    <w:next w:val="Normal"/>
    <w:uiPriority w:val="37"/>
    <w:semiHidden/>
    <w:unhideWhenUsed/>
    <w:rsid w:val="009A052F"/>
  </w:style>
  <w:style w:type="paragraph" w:styleId="Caption">
    <w:name w:val="caption"/>
    <w:basedOn w:val="Normal"/>
    <w:next w:val="Normal"/>
    <w:uiPriority w:val="35"/>
    <w:unhideWhenUsed/>
    <w:qFormat/>
    <w:rsid w:val="00126D68"/>
    <w:pPr>
      <w:suppressAutoHyphens/>
      <w:spacing w:after="200"/>
      <w:ind w:leftChars="-1" w:left="-1" w:hangingChars="1" w:hanging="1"/>
      <w:textDirection w:val="btLr"/>
      <w:textAlignment w:val="top"/>
      <w:outlineLvl w:val="0"/>
    </w:pPr>
    <w:rPr>
      <w:rFonts w:ascii="Times New Roman" w:eastAsia="Times New Roman" w:hAnsi="Times New Roman" w:cs="Times New Roman"/>
      <w:i/>
      <w:iCs/>
      <w:color w:val="0E2841" w:themeColor="text2"/>
      <w:kern w:val="0"/>
      <w:position w:val="-1"/>
      <w:sz w:val="18"/>
      <w:szCs w:val="18"/>
      <w:lang w:val="en-US"/>
      <w14:ligatures w14:val="none"/>
    </w:rPr>
  </w:style>
  <w:style w:type="paragraph" w:customStyle="1" w:styleId="pdq2pgselectionanchorcontainer">
    <w:name w:val="pdq2pg_selectionanchorcontainer"/>
    <w:basedOn w:val="Normal"/>
    <w:rsid w:val="008B088C"/>
    <w:pPr>
      <w:spacing w:before="100" w:beforeAutospacing="1" w:after="100" w:afterAutospacing="1"/>
    </w:pPr>
    <w:rPr>
      <w:rFonts w:ascii="Times New Roman" w:eastAsia="Times New Roman" w:hAnsi="Times New Roman" w:cs="Times New Roman"/>
      <w:kern w:val="0"/>
      <w:lang w:val="en-US"/>
      <w14:ligatures w14:val="none"/>
    </w:rPr>
  </w:style>
  <w:style w:type="character" w:customStyle="1" w:styleId="Heading4Char">
    <w:name w:val="Heading 4 Char"/>
    <w:basedOn w:val="DefaultParagraphFont"/>
    <w:link w:val="Heading4"/>
    <w:uiPriority w:val="9"/>
    <w:semiHidden/>
    <w:rsid w:val="007C14E2"/>
    <w:rPr>
      <w:rFonts w:asciiTheme="majorHAnsi" w:eastAsiaTheme="majorEastAsia" w:hAnsiTheme="majorHAnsi" w:cstheme="majorBidi"/>
      <w:i/>
      <w:iCs/>
      <w:color w:val="0F4761" w:themeColor="accent1" w:themeShade="BF"/>
      <w:lang w:val="en-GB"/>
    </w:rPr>
  </w:style>
  <w:style w:type="character" w:customStyle="1" w:styleId="UnresolvedMention">
    <w:name w:val="Unresolved Mention"/>
    <w:basedOn w:val="DefaultParagraphFont"/>
    <w:uiPriority w:val="99"/>
    <w:semiHidden/>
    <w:unhideWhenUsed/>
    <w:rsid w:val="000079C6"/>
    <w:rPr>
      <w:color w:val="605E5C"/>
      <w:shd w:val="clear" w:color="auto" w:fill="E1DFDD"/>
    </w:rPr>
  </w:style>
  <w:style w:type="paragraph" w:styleId="ListNumber">
    <w:name w:val="List Number"/>
    <w:basedOn w:val="Normal"/>
    <w:uiPriority w:val="99"/>
    <w:unhideWhenUsed/>
    <w:rsid w:val="0031462F"/>
    <w:pPr>
      <w:numPr>
        <w:numId w:val="36"/>
      </w:numPr>
      <w:spacing w:after="200" w:line="276" w:lineRule="auto"/>
      <w:contextualSpacing/>
    </w:pPr>
    <w:rPr>
      <w:rFonts w:ascii="Times New Roman" w:eastAsiaTheme="minorEastAsia" w:hAnsi="Times New Roman"/>
      <w:kern w:val="0"/>
      <w:sz w:val="22"/>
      <w:szCs w:val="22"/>
      <w:lang w:val="en-US"/>
      <w14:ligatures w14:val="none"/>
    </w:rPr>
  </w:style>
  <w:style w:type="character" w:styleId="PlaceholderText">
    <w:name w:val="Placeholder Text"/>
    <w:basedOn w:val="DefaultParagraphFont"/>
    <w:uiPriority w:val="99"/>
    <w:semiHidden/>
    <w:rsid w:val="00CD2F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8519">
      <w:bodyDiv w:val="1"/>
      <w:marLeft w:val="0"/>
      <w:marRight w:val="0"/>
      <w:marTop w:val="0"/>
      <w:marBottom w:val="0"/>
      <w:divBdr>
        <w:top w:val="none" w:sz="0" w:space="0" w:color="auto"/>
        <w:left w:val="none" w:sz="0" w:space="0" w:color="auto"/>
        <w:bottom w:val="none" w:sz="0" w:space="0" w:color="auto"/>
        <w:right w:val="none" w:sz="0" w:space="0" w:color="auto"/>
      </w:divBdr>
    </w:div>
    <w:div w:id="46299626">
      <w:bodyDiv w:val="1"/>
      <w:marLeft w:val="0"/>
      <w:marRight w:val="0"/>
      <w:marTop w:val="0"/>
      <w:marBottom w:val="0"/>
      <w:divBdr>
        <w:top w:val="none" w:sz="0" w:space="0" w:color="auto"/>
        <w:left w:val="none" w:sz="0" w:space="0" w:color="auto"/>
        <w:bottom w:val="none" w:sz="0" w:space="0" w:color="auto"/>
        <w:right w:val="none" w:sz="0" w:space="0" w:color="auto"/>
      </w:divBdr>
    </w:div>
    <w:div w:id="52700310">
      <w:bodyDiv w:val="1"/>
      <w:marLeft w:val="0"/>
      <w:marRight w:val="0"/>
      <w:marTop w:val="0"/>
      <w:marBottom w:val="0"/>
      <w:divBdr>
        <w:top w:val="none" w:sz="0" w:space="0" w:color="auto"/>
        <w:left w:val="none" w:sz="0" w:space="0" w:color="auto"/>
        <w:bottom w:val="none" w:sz="0" w:space="0" w:color="auto"/>
        <w:right w:val="none" w:sz="0" w:space="0" w:color="auto"/>
      </w:divBdr>
    </w:div>
    <w:div w:id="58990866">
      <w:bodyDiv w:val="1"/>
      <w:marLeft w:val="0"/>
      <w:marRight w:val="0"/>
      <w:marTop w:val="0"/>
      <w:marBottom w:val="0"/>
      <w:divBdr>
        <w:top w:val="none" w:sz="0" w:space="0" w:color="auto"/>
        <w:left w:val="none" w:sz="0" w:space="0" w:color="auto"/>
        <w:bottom w:val="none" w:sz="0" w:space="0" w:color="auto"/>
        <w:right w:val="none" w:sz="0" w:space="0" w:color="auto"/>
      </w:divBdr>
      <w:divsChild>
        <w:div w:id="299455254">
          <w:marLeft w:val="0"/>
          <w:marRight w:val="0"/>
          <w:marTop w:val="0"/>
          <w:marBottom w:val="0"/>
          <w:divBdr>
            <w:top w:val="none" w:sz="0" w:space="0" w:color="auto"/>
            <w:left w:val="none" w:sz="0" w:space="0" w:color="auto"/>
            <w:bottom w:val="none" w:sz="0" w:space="0" w:color="auto"/>
            <w:right w:val="none" w:sz="0" w:space="0" w:color="auto"/>
          </w:divBdr>
          <w:divsChild>
            <w:div w:id="21171408">
              <w:marLeft w:val="0"/>
              <w:marRight w:val="0"/>
              <w:marTop w:val="0"/>
              <w:marBottom w:val="0"/>
              <w:divBdr>
                <w:top w:val="none" w:sz="0" w:space="0" w:color="auto"/>
                <w:left w:val="none" w:sz="0" w:space="0" w:color="auto"/>
                <w:bottom w:val="none" w:sz="0" w:space="0" w:color="auto"/>
                <w:right w:val="none" w:sz="0" w:space="0" w:color="auto"/>
              </w:divBdr>
              <w:divsChild>
                <w:div w:id="121192936">
                  <w:marLeft w:val="0"/>
                  <w:marRight w:val="0"/>
                  <w:marTop w:val="0"/>
                  <w:marBottom w:val="0"/>
                  <w:divBdr>
                    <w:top w:val="none" w:sz="0" w:space="0" w:color="auto"/>
                    <w:left w:val="none" w:sz="0" w:space="0" w:color="auto"/>
                    <w:bottom w:val="none" w:sz="0" w:space="0" w:color="auto"/>
                    <w:right w:val="none" w:sz="0" w:space="0" w:color="auto"/>
                  </w:divBdr>
                  <w:divsChild>
                    <w:div w:id="12581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05624">
      <w:bodyDiv w:val="1"/>
      <w:marLeft w:val="0"/>
      <w:marRight w:val="0"/>
      <w:marTop w:val="0"/>
      <w:marBottom w:val="0"/>
      <w:divBdr>
        <w:top w:val="none" w:sz="0" w:space="0" w:color="auto"/>
        <w:left w:val="none" w:sz="0" w:space="0" w:color="auto"/>
        <w:bottom w:val="none" w:sz="0" w:space="0" w:color="auto"/>
        <w:right w:val="none" w:sz="0" w:space="0" w:color="auto"/>
      </w:divBdr>
    </w:div>
    <w:div w:id="96096183">
      <w:bodyDiv w:val="1"/>
      <w:marLeft w:val="0"/>
      <w:marRight w:val="0"/>
      <w:marTop w:val="0"/>
      <w:marBottom w:val="0"/>
      <w:divBdr>
        <w:top w:val="none" w:sz="0" w:space="0" w:color="auto"/>
        <w:left w:val="none" w:sz="0" w:space="0" w:color="auto"/>
        <w:bottom w:val="none" w:sz="0" w:space="0" w:color="auto"/>
        <w:right w:val="none" w:sz="0" w:space="0" w:color="auto"/>
      </w:divBdr>
    </w:div>
    <w:div w:id="135800729">
      <w:bodyDiv w:val="1"/>
      <w:marLeft w:val="0"/>
      <w:marRight w:val="0"/>
      <w:marTop w:val="0"/>
      <w:marBottom w:val="0"/>
      <w:divBdr>
        <w:top w:val="none" w:sz="0" w:space="0" w:color="auto"/>
        <w:left w:val="none" w:sz="0" w:space="0" w:color="auto"/>
        <w:bottom w:val="none" w:sz="0" w:space="0" w:color="auto"/>
        <w:right w:val="none" w:sz="0" w:space="0" w:color="auto"/>
      </w:divBdr>
    </w:div>
    <w:div w:id="155195061">
      <w:bodyDiv w:val="1"/>
      <w:marLeft w:val="0"/>
      <w:marRight w:val="0"/>
      <w:marTop w:val="0"/>
      <w:marBottom w:val="0"/>
      <w:divBdr>
        <w:top w:val="none" w:sz="0" w:space="0" w:color="auto"/>
        <w:left w:val="none" w:sz="0" w:space="0" w:color="auto"/>
        <w:bottom w:val="none" w:sz="0" w:space="0" w:color="auto"/>
        <w:right w:val="none" w:sz="0" w:space="0" w:color="auto"/>
      </w:divBdr>
      <w:divsChild>
        <w:div w:id="560796890">
          <w:marLeft w:val="0"/>
          <w:marRight w:val="0"/>
          <w:marTop w:val="0"/>
          <w:marBottom w:val="0"/>
          <w:divBdr>
            <w:top w:val="none" w:sz="0" w:space="0" w:color="auto"/>
            <w:left w:val="none" w:sz="0" w:space="0" w:color="auto"/>
            <w:bottom w:val="none" w:sz="0" w:space="0" w:color="auto"/>
            <w:right w:val="none" w:sz="0" w:space="0" w:color="auto"/>
          </w:divBdr>
          <w:divsChild>
            <w:div w:id="1001811192">
              <w:marLeft w:val="0"/>
              <w:marRight w:val="0"/>
              <w:marTop w:val="0"/>
              <w:marBottom w:val="0"/>
              <w:divBdr>
                <w:top w:val="none" w:sz="0" w:space="0" w:color="auto"/>
                <w:left w:val="none" w:sz="0" w:space="0" w:color="auto"/>
                <w:bottom w:val="none" w:sz="0" w:space="0" w:color="auto"/>
                <w:right w:val="none" w:sz="0" w:space="0" w:color="auto"/>
              </w:divBdr>
              <w:divsChild>
                <w:div w:id="1365791204">
                  <w:marLeft w:val="0"/>
                  <w:marRight w:val="0"/>
                  <w:marTop w:val="0"/>
                  <w:marBottom w:val="0"/>
                  <w:divBdr>
                    <w:top w:val="none" w:sz="0" w:space="0" w:color="auto"/>
                    <w:left w:val="none" w:sz="0" w:space="0" w:color="auto"/>
                    <w:bottom w:val="none" w:sz="0" w:space="0" w:color="auto"/>
                    <w:right w:val="none" w:sz="0" w:space="0" w:color="auto"/>
                  </w:divBdr>
                  <w:divsChild>
                    <w:div w:id="111752638">
                      <w:marLeft w:val="0"/>
                      <w:marRight w:val="0"/>
                      <w:marTop w:val="0"/>
                      <w:marBottom w:val="0"/>
                      <w:divBdr>
                        <w:top w:val="none" w:sz="0" w:space="0" w:color="auto"/>
                        <w:left w:val="none" w:sz="0" w:space="0" w:color="auto"/>
                        <w:bottom w:val="none" w:sz="0" w:space="0" w:color="auto"/>
                        <w:right w:val="none" w:sz="0" w:space="0" w:color="auto"/>
                      </w:divBdr>
                      <w:divsChild>
                        <w:div w:id="415177400">
                          <w:marLeft w:val="0"/>
                          <w:marRight w:val="0"/>
                          <w:marTop w:val="0"/>
                          <w:marBottom w:val="0"/>
                          <w:divBdr>
                            <w:top w:val="none" w:sz="0" w:space="0" w:color="auto"/>
                            <w:left w:val="none" w:sz="0" w:space="0" w:color="auto"/>
                            <w:bottom w:val="none" w:sz="0" w:space="0" w:color="auto"/>
                            <w:right w:val="none" w:sz="0" w:space="0" w:color="auto"/>
                          </w:divBdr>
                          <w:divsChild>
                            <w:div w:id="2137213464">
                              <w:marLeft w:val="0"/>
                              <w:marRight w:val="0"/>
                              <w:marTop w:val="0"/>
                              <w:marBottom w:val="0"/>
                              <w:divBdr>
                                <w:top w:val="none" w:sz="0" w:space="0" w:color="auto"/>
                                <w:left w:val="none" w:sz="0" w:space="0" w:color="auto"/>
                                <w:bottom w:val="none" w:sz="0" w:space="0" w:color="auto"/>
                                <w:right w:val="none" w:sz="0" w:space="0" w:color="auto"/>
                              </w:divBdr>
                              <w:divsChild>
                                <w:div w:id="2270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01230">
      <w:bodyDiv w:val="1"/>
      <w:marLeft w:val="0"/>
      <w:marRight w:val="0"/>
      <w:marTop w:val="0"/>
      <w:marBottom w:val="0"/>
      <w:divBdr>
        <w:top w:val="none" w:sz="0" w:space="0" w:color="auto"/>
        <w:left w:val="none" w:sz="0" w:space="0" w:color="auto"/>
        <w:bottom w:val="none" w:sz="0" w:space="0" w:color="auto"/>
        <w:right w:val="none" w:sz="0" w:space="0" w:color="auto"/>
      </w:divBdr>
    </w:div>
    <w:div w:id="181432129">
      <w:bodyDiv w:val="1"/>
      <w:marLeft w:val="0"/>
      <w:marRight w:val="0"/>
      <w:marTop w:val="0"/>
      <w:marBottom w:val="0"/>
      <w:divBdr>
        <w:top w:val="none" w:sz="0" w:space="0" w:color="auto"/>
        <w:left w:val="none" w:sz="0" w:space="0" w:color="auto"/>
        <w:bottom w:val="none" w:sz="0" w:space="0" w:color="auto"/>
        <w:right w:val="none" w:sz="0" w:space="0" w:color="auto"/>
      </w:divBdr>
    </w:div>
    <w:div w:id="189801408">
      <w:bodyDiv w:val="1"/>
      <w:marLeft w:val="0"/>
      <w:marRight w:val="0"/>
      <w:marTop w:val="0"/>
      <w:marBottom w:val="0"/>
      <w:divBdr>
        <w:top w:val="none" w:sz="0" w:space="0" w:color="auto"/>
        <w:left w:val="none" w:sz="0" w:space="0" w:color="auto"/>
        <w:bottom w:val="none" w:sz="0" w:space="0" w:color="auto"/>
        <w:right w:val="none" w:sz="0" w:space="0" w:color="auto"/>
      </w:divBdr>
    </w:div>
    <w:div w:id="213928461">
      <w:bodyDiv w:val="1"/>
      <w:marLeft w:val="0"/>
      <w:marRight w:val="0"/>
      <w:marTop w:val="0"/>
      <w:marBottom w:val="0"/>
      <w:divBdr>
        <w:top w:val="none" w:sz="0" w:space="0" w:color="auto"/>
        <w:left w:val="none" w:sz="0" w:space="0" w:color="auto"/>
        <w:bottom w:val="none" w:sz="0" w:space="0" w:color="auto"/>
        <w:right w:val="none" w:sz="0" w:space="0" w:color="auto"/>
      </w:divBdr>
    </w:div>
    <w:div w:id="245186023">
      <w:bodyDiv w:val="1"/>
      <w:marLeft w:val="0"/>
      <w:marRight w:val="0"/>
      <w:marTop w:val="0"/>
      <w:marBottom w:val="0"/>
      <w:divBdr>
        <w:top w:val="none" w:sz="0" w:space="0" w:color="auto"/>
        <w:left w:val="none" w:sz="0" w:space="0" w:color="auto"/>
        <w:bottom w:val="none" w:sz="0" w:space="0" w:color="auto"/>
        <w:right w:val="none" w:sz="0" w:space="0" w:color="auto"/>
      </w:divBdr>
    </w:div>
    <w:div w:id="262035635">
      <w:bodyDiv w:val="1"/>
      <w:marLeft w:val="0"/>
      <w:marRight w:val="0"/>
      <w:marTop w:val="0"/>
      <w:marBottom w:val="0"/>
      <w:divBdr>
        <w:top w:val="none" w:sz="0" w:space="0" w:color="auto"/>
        <w:left w:val="none" w:sz="0" w:space="0" w:color="auto"/>
        <w:bottom w:val="none" w:sz="0" w:space="0" w:color="auto"/>
        <w:right w:val="none" w:sz="0" w:space="0" w:color="auto"/>
      </w:divBdr>
    </w:div>
    <w:div w:id="268977076">
      <w:bodyDiv w:val="1"/>
      <w:marLeft w:val="0"/>
      <w:marRight w:val="0"/>
      <w:marTop w:val="0"/>
      <w:marBottom w:val="0"/>
      <w:divBdr>
        <w:top w:val="none" w:sz="0" w:space="0" w:color="auto"/>
        <w:left w:val="none" w:sz="0" w:space="0" w:color="auto"/>
        <w:bottom w:val="none" w:sz="0" w:space="0" w:color="auto"/>
        <w:right w:val="none" w:sz="0" w:space="0" w:color="auto"/>
      </w:divBdr>
    </w:div>
    <w:div w:id="365569858">
      <w:bodyDiv w:val="1"/>
      <w:marLeft w:val="0"/>
      <w:marRight w:val="0"/>
      <w:marTop w:val="0"/>
      <w:marBottom w:val="0"/>
      <w:divBdr>
        <w:top w:val="none" w:sz="0" w:space="0" w:color="auto"/>
        <w:left w:val="none" w:sz="0" w:space="0" w:color="auto"/>
        <w:bottom w:val="none" w:sz="0" w:space="0" w:color="auto"/>
        <w:right w:val="none" w:sz="0" w:space="0" w:color="auto"/>
      </w:divBdr>
    </w:div>
    <w:div w:id="406339987">
      <w:bodyDiv w:val="1"/>
      <w:marLeft w:val="0"/>
      <w:marRight w:val="0"/>
      <w:marTop w:val="0"/>
      <w:marBottom w:val="0"/>
      <w:divBdr>
        <w:top w:val="none" w:sz="0" w:space="0" w:color="auto"/>
        <w:left w:val="none" w:sz="0" w:space="0" w:color="auto"/>
        <w:bottom w:val="none" w:sz="0" w:space="0" w:color="auto"/>
        <w:right w:val="none" w:sz="0" w:space="0" w:color="auto"/>
      </w:divBdr>
    </w:div>
    <w:div w:id="471560812">
      <w:bodyDiv w:val="1"/>
      <w:marLeft w:val="0"/>
      <w:marRight w:val="0"/>
      <w:marTop w:val="0"/>
      <w:marBottom w:val="0"/>
      <w:divBdr>
        <w:top w:val="none" w:sz="0" w:space="0" w:color="auto"/>
        <w:left w:val="none" w:sz="0" w:space="0" w:color="auto"/>
        <w:bottom w:val="none" w:sz="0" w:space="0" w:color="auto"/>
        <w:right w:val="none" w:sz="0" w:space="0" w:color="auto"/>
      </w:divBdr>
    </w:div>
    <w:div w:id="485703074">
      <w:bodyDiv w:val="1"/>
      <w:marLeft w:val="0"/>
      <w:marRight w:val="0"/>
      <w:marTop w:val="0"/>
      <w:marBottom w:val="0"/>
      <w:divBdr>
        <w:top w:val="none" w:sz="0" w:space="0" w:color="auto"/>
        <w:left w:val="none" w:sz="0" w:space="0" w:color="auto"/>
        <w:bottom w:val="none" w:sz="0" w:space="0" w:color="auto"/>
        <w:right w:val="none" w:sz="0" w:space="0" w:color="auto"/>
      </w:divBdr>
    </w:div>
    <w:div w:id="485710280">
      <w:bodyDiv w:val="1"/>
      <w:marLeft w:val="0"/>
      <w:marRight w:val="0"/>
      <w:marTop w:val="0"/>
      <w:marBottom w:val="0"/>
      <w:divBdr>
        <w:top w:val="none" w:sz="0" w:space="0" w:color="auto"/>
        <w:left w:val="none" w:sz="0" w:space="0" w:color="auto"/>
        <w:bottom w:val="none" w:sz="0" w:space="0" w:color="auto"/>
        <w:right w:val="none" w:sz="0" w:space="0" w:color="auto"/>
      </w:divBdr>
    </w:div>
    <w:div w:id="530993824">
      <w:bodyDiv w:val="1"/>
      <w:marLeft w:val="0"/>
      <w:marRight w:val="0"/>
      <w:marTop w:val="0"/>
      <w:marBottom w:val="0"/>
      <w:divBdr>
        <w:top w:val="none" w:sz="0" w:space="0" w:color="auto"/>
        <w:left w:val="none" w:sz="0" w:space="0" w:color="auto"/>
        <w:bottom w:val="none" w:sz="0" w:space="0" w:color="auto"/>
        <w:right w:val="none" w:sz="0" w:space="0" w:color="auto"/>
      </w:divBdr>
    </w:div>
    <w:div w:id="538317436">
      <w:bodyDiv w:val="1"/>
      <w:marLeft w:val="0"/>
      <w:marRight w:val="0"/>
      <w:marTop w:val="0"/>
      <w:marBottom w:val="0"/>
      <w:divBdr>
        <w:top w:val="none" w:sz="0" w:space="0" w:color="auto"/>
        <w:left w:val="none" w:sz="0" w:space="0" w:color="auto"/>
        <w:bottom w:val="none" w:sz="0" w:space="0" w:color="auto"/>
        <w:right w:val="none" w:sz="0" w:space="0" w:color="auto"/>
      </w:divBdr>
    </w:div>
    <w:div w:id="576018407">
      <w:bodyDiv w:val="1"/>
      <w:marLeft w:val="0"/>
      <w:marRight w:val="0"/>
      <w:marTop w:val="0"/>
      <w:marBottom w:val="0"/>
      <w:divBdr>
        <w:top w:val="none" w:sz="0" w:space="0" w:color="auto"/>
        <w:left w:val="none" w:sz="0" w:space="0" w:color="auto"/>
        <w:bottom w:val="none" w:sz="0" w:space="0" w:color="auto"/>
        <w:right w:val="none" w:sz="0" w:space="0" w:color="auto"/>
      </w:divBdr>
    </w:div>
    <w:div w:id="583419745">
      <w:bodyDiv w:val="1"/>
      <w:marLeft w:val="0"/>
      <w:marRight w:val="0"/>
      <w:marTop w:val="0"/>
      <w:marBottom w:val="0"/>
      <w:divBdr>
        <w:top w:val="none" w:sz="0" w:space="0" w:color="auto"/>
        <w:left w:val="none" w:sz="0" w:space="0" w:color="auto"/>
        <w:bottom w:val="none" w:sz="0" w:space="0" w:color="auto"/>
        <w:right w:val="none" w:sz="0" w:space="0" w:color="auto"/>
      </w:divBdr>
    </w:div>
    <w:div w:id="602230956">
      <w:bodyDiv w:val="1"/>
      <w:marLeft w:val="0"/>
      <w:marRight w:val="0"/>
      <w:marTop w:val="0"/>
      <w:marBottom w:val="0"/>
      <w:divBdr>
        <w:top w:val="none" w:sz="0" w:space="0" w:color="auto"/>
        <w:left w:val="none" w:sz="0" w:space="0" w:color="auto"/>
        <w:bottom w:val="none" w:sz="0" w:space="0" w:color="auto"/>
        <w:right w:val="none" w:sz="0" w:space="0" w:color="auto"/>
      </w:divBdr>
    </w:div>
    <w:div w:id="613561785">
      <w:bodyDiv w:val="1"/>
      <w:marLeft w:val="0"/>
      <w:marRight w:val="0"/>
      <w:marTop w:val="0"/>
      <w:marBottom w:val="0"/>
      <w:divBdr>
        <w:top w:val="none" w:sz="0" w:space="0" w:color="auto"/>
        <w:left w:val="none" w:sz="0" w:space="0" w:color="auto"/>
        <w:bottom w:val="none" w:sz="0" w:space="0" w:color="auto"/>
        <w:right w:val="none" w:sz="0" w:space="0" w:color="auto"/>
      </w:divBdr>
      <w:divsChild>
        <w:div w:id="119107543">
          <w:marLeft w:val="0"/>
          <w:marRight w:val="0"/>
          <w:marTop w:val="0"/>
          <w:marBottom w:val="0"/>
          <w:divBdr>
            <w:top w:val="none" w:sz="0" w:space="0" w:color="auto"/>
            <w:left w:val="none" w:sz="0" w:space="0" w:color="auto"/>
            <w:bottom w:val="none" w:sz="0" w:space="0" w:color="auto"/>
            <w:right w:val="none" w:sz="0" w:space="0" w:color="auto"/>
          </w:divBdr>
          <w:divsChild>
            <w:div w:id="499856648">
              <w:marLeft w:val="0"/>
              <w:marRight w:val="0"/>
              <w:marTop w:val="0"/>
              <w:marBottom w:val="0"/>
              <w:divBdr>
                <w:top w:val="none" w:sz="0" w:space="0" w:color="auto"/>
                <w:left w:val="none" w:sz="0" w:space="0" w:color="auto"/>
                <w:bottom w:val="none" w:sz="0" w:space="0" w:color="auto"/>
                <w:right w:val="none" w:sz="0" w:space="0" w:color="auto"/>
              </w:divBdr>
              <w:divsChild>
                <w:div w:id="1286503550">
                  <w:marLeft w:val="0"/>
                  <w:marRight w:val="0"/>
                  <w:marTop w:val="0"/>
                  <w:marBottom w:val="0"/>
                  <w:divBdr>
                    <w:top w:val="none" w:sz="0" w:space="0" w:color="auto"/>
                    <w:left w:val="none" w:sz="0" w:space="0" w:color="auto"/>
                    <w:bottom w:val="none" w:sz="0" w:space="0" w:color="auto"/>
                    <w:right w:val="none" w:sz="0" w:space="0" w:color="auto"/>
                  </w:divBdr>
                  <w:divsChild>
                    <w:div w:id="207963029">
                      <w:marLeft w:val="0"/>
                      <w:marRight w:val="0"/>
                      <w:marTop w:val="0"/>
                      <w:marBottom w:val="0"/>
                      <w:divBdr>
                        <w:top w:val="none" w:sz="0" w:space="0" w:color="auto"/>
                        <w:left w:val="none" w:sz="0" w:space="0" w:color="auto"/>
                        <w:bottom w:val="none" w:sz="0" w:space="0" w:color="auto"/>
                        <w:right w:val="none" w:sz="0" w:space="0" w:color="auto"/>
                      </w:divBdr>
                      <w:divsChild>
                        <w:div w:id="500508541">
                          <w:marLeft w:val="0"/>
                          <w:marRight w:val="0"/>
                          <w:marTop w:val="0"/>
                          <w:marBottom w:val="0"/>
                          <w:divBdr>
                            <w:top w:val="none" w:sz="0" w:space="0" w:color="auto"/>
                            <w:left w:val="none" w:sz="0" w:space="0" w:color="auto"/>
                            <w:bottom w:val="none" w:sz="0" w:space="0" w:color="auto"/>
                            <w:right w:val="none" w:sz="0" w:space="0" w:color="auto"/>
                          </w:divBdr>
                          <w:divsChild>
                            <w:div w:id="736055793">
                              <w:marLeft w:val="0"/>
                              <w:marRight w:val="0"/>
                              <w:marTop w:val="0"/>
                              <w:marBottom w:val="0"/>
                              <w:divBdr>
                                <w:top w:val="none" w:sz="0" w:space="0" w:color="auto"/>
                                <w:left w:val="none" w:sz="0" w:space="0" w:color="auto"/>
                                <w:bottom w:val="none" w:sz="0" w:space="0" w:color="auto"/>
                                <w:right w:val="none" w:sz="0" w:space="0" w:color="auto"/>
                              </w:divBdr>
                              <w:divsChild>
                                <w:div w:id="2026326763">
                                  <w:marLeft w:val="0"/>
                                  <w:marRight w:val="0"/>
                                  <w:marTop w:val="0"/>
                                  <w:marBottom w:val="0"/>
                                  <w:divBdr>
                                    <w:top w:val="none" w:sz="0" w:space="0" w:color="auto"/>
                                    <w:left w:val="none" w:sz="0" w:space="0" w:color="auto"/>
                                    <w:bottom w:val="none" w:sz="0" w:space="0" w:color="auto"/>
                                    <w:right w:val="none" w:sz="0" w:space="0" w:color="auto"/>
                                  </w:divBdr>
                                  <w:divsChild>
                                    <w:div w:id="178082414">
                                      <w:marLeft w:val="0"/>
                                      <w:marRight w:val="0"/>
                                      <w:marTop w:val="0"/>
                                      <w:marBottom w:val="0"/>
                                      <w:divBdr>
                                        <w:top w:val="none" w:sz="0" w:space="0" w:color="auto"/>
                                        <w:left w:val="none" w:sz="0" w:space="0" w:color="auto"/>
                                        <w:bottom w:val="none" w:sz="0" w:space="0" w:color="auto"/>
                                        <w:right w:val="none" w:sz="0" w:space="0" w:color="auto"/>
                                      </w:divBdr>
                                      <w:divsChild>
                                        <w:div w:id="20864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837044">
      <w:bodyDiv w:val="1"/>
      <w:marLeft w:val="0"/>
      <w:marRight w:val="0"/>
      <w:marTop w:val="0"/>
      <w:marBottom w:val="0"/>
      <w:divBdr>
        <w:top w:val="none" w:sz="0" w:space="0" w:color="auto"/>
        <w:left w:val="none" w:sz="0" w:space="0" w:color="auto"/>
        <w:bottom w:val="none" w:sz="0" w:space="0" w:color="auto"/>
        <w:right w:val="none" w:sz="0" w:space="0" w:color="auto"/>
      </w:divBdr>
    </w:div>
    <w:div w:id="779446511">
      <w:bodyDiv w:val="1"/>
      <w:marLeft w:val="0"/>
      <w:marRight w:val="0"/>
      <w:marTop w:val="0"/>
      <w:marBottom w:val="0"/>
      <w:divBdr>
        <w:top w:val="none" w:sz="0" w:space="0" w:color="auto"/>
        <w:left w:val="none" w:sz="0" w:space="0" w:color="auto"/>
        <w:bottom w:val="none" w:sz="0" w:space="0" w:color="auto"/>
        <w:right w:val="none" w:sz="0" w:space="0" w:color="auto"/>
      </w:divBdr>
    </w:div>
    <w:div w:id="780806753">
      <w:bodyDiv w:val="1"/>
      <w:marLeft w:val="0"/>
      <w:marRight w:val="0"/>
      <w:marTop w:val="0"/>
      <w:marBottom w:val="0"/>
      <w:divBdr>
        <w:top w:val="none" w:sz="0" w:space="0" w:color="auto"/>
        <w:left w:val="none" w:sz="0" w:space="0" w:color="auto"/>
        <w:bottom w:val="none" w:sz="0" w:space="0" w:color="auto"/>
        <w:right w:val="none" w:sz="0" w:space="0" w:color="auto"/>
      </w:divBdr>
    </w:div>
    <w:div w:id="793795488">
      <w:bodyDiv w:val="1"/>
      <w:marLeft w:val="0"/>
      <w:marRight w:val="0"/>
      <w:marTop w:val="0"/>
      <w:marBottom w:val="0"/>
      <w:divBdr>
        <w:top w:val="none" w:sz="0" w:space="0" w:color="auto"/>
        <w:left w:val="none" w:sz="0" w:space="0" w:color="auto"/>
        <w:bottom w:val="none" w:sz="0" w:space="0" w:color="auto"/>
        <w:right w:val="none" w:sz="0" w:space="0" w:color="auto"/>
      </w:divBdr>
    </w:div>
    <w:div w:id="801774800">
      <w:bodyDiv w:val="1"/>
      <w:marLeft w:val="0"/>
      <w:marRight w:val="0"/>
      <w:marTop w:val="0"/>
      <w:marBottom w:val="0"/>
      <w:divBdr>
        <w:top w:val="none" w:sz="0" w:space="0" w:color="auto"/>
        <w:left w:val="none" w:sz="0" w:space="0" w:color="auto"/>
        <w:bottom w:val="none" w:sz="0" w:space="0" w:color="auto"/>
        <w:right w:val="none" w:sz="0" w:space="0" w:color="auto"/>
      </w:divBdr>
      <w:divsChild>
        <w:div w:id="888759411">
          <w:marLeft w:val="0"/>
          <w:marRight w:val="0"/>
          <w:marTop w:val="0"/>
          <w:marBottom w:val="0"/>
          <w:divBdr>
            <w:top w:val="none" w:sz="0" w:space="0" w:color="auto"/>
            <w:left w:val="none" w:sz="0" w:space="0" w:color="auto"/>
            <w:bottom w:val="none" w:sz="0" w:space="0" w:color="auto"/>
            <w:right w:val="none" w:sz="0" w:space="0" w:color="auto"/>
          </w:divBdr>
          <w:divsChild>
            <w:div w:id="397554259">
              <w:marLeft w:val="0"/>
              <w:marRight w:val="0"/>
              <w:marTop w:val="0"/>
              <w:marBottom w:val="0"/>
              <w:divBdr>
                <w:top w:val="none" w:sz="0" w:space="0" w:color="auto"/>
                <w:left w:val="none" w:sz="0" w:space="0" w:color="auto"/>
                <w:bottom w:val="none" w:sz="0" w:space="0" w:color="auto"/>
                <w:right w:val="none" w:sz="0" w:space="0" w:color="auto"/>
              </w:divBdr>
              <w:divsChild>
                <w:div w:id="1376193824">
                  <w:marLeft w:val="0"/>
                  <w:marRight w:val="0"/>
                  <w:marTop w:val="0"/>
                  <w:marBottom w:val="0"/>
                  <w:divBdr>
                    <w:top w:val="none" w:sz="0" w:space="0" w:color="auto"/>
                    <w:left w:val="none" w:sz="0" w:space="0" w:color="auto"/>
                    <w:bottom w:val="none" w:sz="0" w:space="0" w:color="auto"/>
                    <w:right w:val="none" w:sz="0" w:space="0" w:color="auto"/>
                  </w:divBdr>
                  <w:divsChild>
                    <w:div w:id="124155351">
                      <w:marLeft w:val="0"/>
                      <w:marRight w:val="0"/>
                      <w:marTop w:val="0"/>
                      <w:marBottom w:val="0"/>
                      <w:divBdr>
                        <w:top w:val="none" w:sz="0" w:space="0" w:color="auto"/>
                        <w:left w:val="none" w:sz="0" w:space="0" w:color="auto"/>
                        <w:bottom w:val="none" w:sz="0" w:space="0" w:color="auto"/>
                        <w:right w:val="none" w:sz="0" w:space="0" w:color="auto"/>
                      </w:divBdr>
                      <w:divsChild>
                        <w:div w:id="1782144127">
                          <w:marLeft w:val="0"/>
                          <w:marRight w:val="0"/>
                          <w:marTop w:val="0"/>
                          <w:marBottom w:val="0"/>
                          <w:divBdr>
                            <w:top w:val="none" w:sz="0" w:space="0" w:color="auto"/>
                            <w:left w:val="none" w:sz="0" w:space="0" w:color="auto"/>
                            <w:bottom w:val="none" w:sz="0" w:space="0" w:color="auto"/>
                            <w:right w:val="none" w:sz="0" w:space="0" w:color="auto"/>
                          </w:divBdr>
                          <w:divsChild>
                            <w:div w:id="10198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5414">
      <w:bodyDiv w:val="1"/>
      <w:marLeft w:val="0"/>
      <w:marRight w:val="0"/>
      <w:marTop w:val="0"/>
      <w:marBottom w:val="0"/>
      <w:divBdr>
        <w:top w:val="none" w:sz="0" w:space="0" w:color="auto"/>
        <w:left w:val="none" w:sz="0" w:space="0" w:color="auto"/>
        <w:bottom w:val="none" w:sz="0" w:space="0" w:color="auto"/>
        <w:right w:val="none" w:sz="0" w:space="0" w:color="auto"/>
      </w:divBdr>
    </w:div>
    <w:div w:id="917708291">
      <w:bodyDiv w:val="1"/>
      <w:marLeft w:val="0"/>
      <w:marRight w:val="0"/>
      <w:marTop w:val="0"/>
      <w:marBottom w:val="0"/>
      <w:divBdr>
        <w:top w:val="none" w:sz="0" w:space="0" w:color="auto"/>
        <w:left w:val="none" w:sz="0" w:space="0" w:color="auto"/>
        <w:bottom w:val="none" w:sz="0" w:space="0" w:color="auto"/>
        <w:right w:val="none" w:sz="0" w:space="0" w:color="auto"/>
      </w:divBdr>
    </w:div>
    <w:div w:id="1021857216">
      <w:bodyDiv w:val="1"/>
      <w:marLeft w:val="0"/>
      <w:marRight w:val="0"/>
      <w:marTop w:val="0"/>
      <w:marBottom w:val="0"/>
      <w:divBdr>
        <w:top w:val="none" w:sz="0" w:space="0" w:color="auto"/>
        <w:left w:val="none" w:sz="0" w:space="0" w:color="auto"/>
        <w:bottom w:val="none" w:sz="0" w:space="0" w:color="auto"/>
        <w:right w:val="none" w:sz="0" w:space="0" w:color="auto"/>
      </w:divBdr>
    </w:div>
    <w:div w:id="1070420063">
      <w:bodyDiv w:val="1"/>
      <w:marLeft w:val="0"/>
      <w:marRight w:val="0"/>
      <w:marTop w:val="0"/>
      <w:marBottom w:val="0"/>
      <w:divBdr>
        <w:top w:val="none" w:sz="0" w:space="0" w:color="auto"/>
        <w:left w:val="none" w:sz="0" w:space="0" w:color="auto"/>
        <w:bottom w:val="none" w:sz="0" w:space="0" w:color="auto"/>
        <w:right w:val="none" w:sz="0" w:space="0" w:color="auto"/>
      </w:divBdr>
    </w:div>
    <w:div w:id="1082138144">
      <w:bodyDiv w:val="1"/>
      <w:marLeft w:val="0"/>
      <w:marRight w:val="0"/>
      <w:marTop w:val="0"/>
      <w:marBottom w:val="0"/>
      <w:divBdr>
        <w:top w:val="none" w:sz="0" w:space="0" w:color="auto"/>
        <w:left w:val="none" w:sz="0" w:space="0" w:color="auto"/>
        <w:bottom w:val="none" w:sz="0" w:space="0" w:color="auto"/>
        <w:right w:val="none" w:sz="0" w:space="0" w:color="auto"/>
      </w:divBdr>
    </w:div>
    <w:div w:id="1087270394">
      <w:bodyDiv w:val="1"/>
      <w:marLeft w:val="0"/>
      <w:marRight w:val="0"/>
      <w:marTop w:val="0"/>
      <w:marBottom w:val="0"/>
      <w:divBdr>
        <w:top w:val="none" w:sz="0" w:space="0" w:color="auto"/>
        <w:left w:val="none" w:sz="0" w:space="0" w:color="auto"/>
        <w:bottom w:val="none" w:sz="0" w:space="0" w:color="auto"/>
        <w:right w:val="none" w:sz="0" w:space="0" w:color="auto"/>
      </w:divBdr>
    </w:div>
    <w:div w:id="1198815998">
      <w:bodyDiv w:val="1"/>
      <w:marLeft w:val="0"/>
      <w:marRight w:val="0"/>
      <w:marTop w:val="0"/>
      <w:marBottom w:val="0"/>
      <w:divBdr>
        <w:top w:val="none" w:sz="0" w:space="0" w:color="auto"/>
        <w:left w:val="none" w:sz="0" w:space="0" w:color="auto"/>
        <w:bottom w:val="none" w:sz="0" w:space="0" w:color="auto"/>
        <w:right w:val="none" w:sz="0" w:space="0" w:color="auto"/>
      </w:divBdr>
    </w:div>
    <w:div w:id="1217622425">
      <w:bodyDiv w:val="1"/>
      <w:marLeft w:val="0"/>
      <w:marRight w:val="0"/>
      <w:marTop w:val="0"/>
      <w:marBottom w:val="0"/>
      <w:divBdr>
        <w:top w:val="none" w:sz="0" w:space="0" w:color="auto"/>
        <w:left w:val="none" w:sz="0" w:space="0" w:color="auto"/>
        <w:bottom w:val="none" w:sz="0" w:space="0" w:color="auto"/>
        <w:right w:val="none" w:sz="0" w:space="0" w:color="auto"/>
      </w:divBdr>
    </w:div>
    <w:div w:id="1246065362">
      <w:bodyDiv w:val="1"/>
      <w:marLeft w:val="0"/>
      <w:marRight w:val="0"/>
      <w:marTop w:val="0"/>
      <w:marBottom w:val="0"/>
      <w:divBdr>
        <w:top w:val="none" w:sz="0" w:space="0" w:color="auto"/>
        <w:left w:val="none" w:sz="0" w:space="0" w:color="auto"/>
        <w:bottom w:val="none" w:sz="0" w:space="0" w:color="auto"/>
        <w:right w:val="none" w:sz="0" w:space="0" w:color="auto"/>
      </w:divBdr>
    </w:div>
    <w:div w:id="1270699879">
      <w:bodyDiv w:val="1"/>
      <w:marLeft w:val="0"/>
      <w:marRight w:val="0"/>
      <w:marTop w:val="0"/>
      <w:marBottom w:val="0"/>
      <w:divBdr>
        <w:top w:val="none" w:sz="0" w:space="0" w:color="auto"/>
        <w:left w:val="none" w:sz="0" w:space="0" w:color="auto"/>
        <w:bottom w:val="none" w:sz="0" w:space="0" w:color="auto"/>
        <w:right w:val="none" w:sz="0" w:space="0" w:color="auto"/>
      </w:divBdr>
    </w:div>
    <w:div w:id="1276907747">
      <w:bodyDiv w:val="1"/>
      <w:marLeft w:val="0"/>
      <w:marRight w:val="0"/>
      <w:marTop w:val="0"/>
      <w:marBottom w:val="0"/>
      <w:divBdr>
        <w:top w:val="none" w:sz="0" w:space="0" w:color="auto"/>
        <w:left w:val="none" w:sz="0" w:space="0" w:color="auto"/>
        <w:bottom w:val="none" w:sz="0" w:space="0" w:color="auto"/>
        <w:right w:val="none" w:sz="0" w:space="0" w:color="auto"/>
      </w:divBdr>
    </w:div>
    <w:div w:id="1279801903">
      <w:bodyDiv w:val="1"/>
      <w:marLeft w:val="0"/>
      <w:marRight w:val="0"/>
      <w:marTop w:val="0"/>
      <w:marBottom w:val="0"/>
      <w:divBdr>
        <w:top w:val="none" w:sz="0" w:space="0" w:color="auto"/>
        <w:left w:val="none" w:sz="0" w:space="0" w:color="auto"/>
        <w:bottom w:val="none" w:sz="0" w:space="0" w:color="auto"/>
        <w:right w:val="none" w:sz="0" w:space="0" w:color="auto"/>
      </w:divBdr>
    </w:div>
    <w:div w:id="1287589429">
      <w:bodyDiv w:val="1"/>
      <w:marLeft w:val="0"/>
      <w:marRight w:val="0"/>
      <w:marTop w:val="0"/>
      <w:marBottom w:val="0"/>
      <w:divBdr>
        <w:top w:val="none" w:sz="0" w:space="0" w:color="auto"/>
        <w:left w:val="none" w:sz="0" w:space="0" w:color="auto"/>
        <w:bottom w:val="none" w:sz="0" w:space="0" w:color="auto"/>
        <w:right w:val="none" w:sz="0" w:space="0" w:color="auto"/>
      </w:divBdr>
    </w:div>
    <w:div w:id="1355106891">
      <w:bodyDiv w:val="1"/>
      <w:marLeft w:val="0"/>
      <w:marRight w:val="0"/>
      <w:marTop w:val="0"/>
      <w:marBottom w:val="0"/>
      <w:divBdr>
        <w:top w:val="none" w:sz="0" w:space="0" w:color="auto"/>
        <w:left w:val="none" w:sz="0" w:space="0" w:color="auto"/>
        <w:bottom w:val="none" w:sz="0" w:space="0" w:color="auto"/>
        <w:right w:val="none" w:sz="0" w:space="0" w:color="auto"/>
      </w:divBdr>
    </w:div>
    <w:div w:id="1400447136">
      <w:bodyDiv w:val="1"/>
      <w:marLeft w:val="0"/>
      <w:marRight w:val="0"/>
      <w:marTop w:val="0"/>
      <w:marBottom w:val="0"/>
      <w:divBdr>
        <w:top w:val="none" w:sz="0" w:space="0" w:color="auto"/>
        <w:left w:val="none" w:sz="0" w:space="0" w:color="auto"/>
        <w:bottom w:val="none" w:sz="0" w:space="0" w:color="auto"/>
        <w:right w:val="none" w:sz="0" w:space="0" w:color="auto"/>
      </w:divBdr>
    </w:div>
    <w:div w:id="1410032395">
      <w:bodyDiv w:val="1"/>
      <w:marLeft w:val="0"/>
      <w:marRight w:val="0"/>
      <w:marTop w:val="0"/>
      <w:marBottom w:val="0"/>
      <w:divBdr>
        <w:top w:val="none" w:sz="0" w:space="0" w:color="auto"/>
        <w:left w:val="none" w:sz="0" w:space="0" w:color="auto"/>
        <w:bottom w:val="none" w:sz="0" w:space="0" w:color="auto"/>
        <w:right w:val="none" w:sz="0" w:space="0" w:color="auto"/>
      </w:divBdr>
    </w:div>
    <w:div w:id="1415206404">
      <w:bodyDiv w:val="1"/>
      <w:marLeft w:val="0"/>
      <w:marRight w:val="0"/>
      <w:marTop w:val="0"/>
      <w:marBottom w:val="0"/>
      <w:divBdr>
        <w:top w:val="none" w:sz="0" w:space="0" w:color="auto"/>
        <w:left w:val="none" w:sz="0" w:space="0" w:color="auto"/>
        <w:bottom w:val="none" w:sz="0" w:space="0" w:color="auto"/>
        <w:right w:val="none" w:sz="0" w:space="0" w:color="auto"/>
      </w:divBdr>
    </w:div>
    <w:div w:id="1532765725">
      <w:bodyDiv w:val="1"/>
      <w:marLeft w:val="0"/>
      <w:marRight w:val="0"/>
      <w:marTop w:val="0"/>
      <w:marBottom w:val="0"/>
      <w:divBdr>
        <w:top w:val="none" w:sz="0" w:space="0" w:color="auto"/>
        <w:left w:val="none" w:sz="0" w:space="0" w:color="auto"/>
        <w:bottom w:val="none" w:sz="0" w:space="0" w:color="auto"/>
        <w:right w:val="none" w:sz="0" w:space="0" w:color="auto"/>
      </w:divBdr>
    </w:div>
    <w:div w:id="1547448945">
      <w:bodyDiv w:val="1"/>
      <w:marLeft w:val="0"/>
      <w:marRight w:val="0"/>
      <w:marTop w:val="0"/>
      <w:marBottom w:val="0"/>
      <w:divBdr>
        <w:top w:val="none" w:sz="0" w:space="0" w:color="auto"/>
        <w:left w:val="none" w:sz="0" w:space="0" w:color="auto"/>
        <w:bottom w:val="none" w:sz="0" w:space="0" w:color="auto"/>
        <w:right w:val="none" w:sz="0" w:space="0" w:color="auto"/>
      </w:divBdr>
    </w:div>
    <w:div w:id="1586305670">
      <w:bodyDiv w:val="1"/>
      <w:marLeft w:val="0"/>
      <w:marRight w:val="0"/>
      <w:marTop w:val="0"/>
      <w:marBottom w:val="0"/>
      <w:divBdr>
        <w:top w:val="none" w:sz="0" w:space="0" w:color="auto"/>
        <w:left w:val="none" w:sz="0" w:space="0" w:color="auto"/>
        <w:bottom w:val="none" w:sz="0" w:space="0" w:color="auto"/>
        <w:right w:val="none" w:sz="0" w:space="0" w:color="auto"/>
      </w:divBdr>
    </w:div>
    <w:div w:id="1708605749">
      <w:bodyDiv w:val="1"/>
      <w:marLeft w:val="0"/>
      <w:marRight w:val="0"/>
      <w:marTop w:val="0"/>
      <w:marBottom w:val="0"/>
      <w:divBdr>
        <w:top w:val="none" w:sz="0" w:space="0" w:color="auto"/>
        <w:left w:val="none" w:sz="0" w:space="0" w:color="auto"/>
        <w:bottom w:val="none" w:sz="0" w:space="0" w:color="auto"/>
        <w:right w:val="none" w:sz="0" w:space="0" w:color="auto"/>
      </w:divBdr>
    </w:div>
    <w:div w:id="1715885619">
      <w:bodyDiv w:val="1"/>
      <w:marLeft w:val="0"/>
      <w:marRight w:val="0"/>
      <w:marTop w:val="0"/>
      <w:marBottom w:val="0"/>
      <w:divBdr>
        <w:top w:val="none" w:sz="0" w:space="0" w:color="auto"/>
        <w:left w:val="none" w:sz="0" w:space="0" w:color="auto"/>
        <w:bottom w:val="none" w:sz="0" w:space="0" w:color="auto"/>
        <w:right w:val="none" w:sz="0" w:space="0" w:color="auto"/>
      </w:divBdr>
    </w:div>
    <w:div w:id="1757021012">
      <w:bodyDiv w:val="1"/>
      <w:marLeft w:val="0"/>
      <w:marRight w:val="0"/>
      <w:marTop w:val="0"/>
      <w:marBottom w:val="0"/>
      <w:divBdr>
        <w:top w:val="none" w:sz="0" w:space="0" w:color="auto"/>
        <w:left w:val="none" w:sz="0" w:space="0" w:color="auto"/>
        <w:bottom w:val="none" w:sz="0" w:space="0" w:color="auto"/>
        <w:right w:val="none" w:sz="0" w:space="0" w:color="auto"/>
      </w:divBdr>
    </w:div>
    <w:div w:id="1763991891">
      <w:bodyDiv w:val="1"/>
      <w:marLeft w:val="0"/>
      <w:marRight w:val="0"/>
      <w:marTop w:val="0"/>
      <w:marBottom w:val="0"/>
      <w:divBdr>
        <w:top w:val="none" w:sz="0" w:space="0" w:color="auto"/>
        <w:left w:val="none" w:sz="0" w:space="0" w:color="auto"/>
        <w:bottom w:val="none" w:sz="0" w:space="0" w:color="auto"/>
        <w:right w:val="none" w:sz="0" w:space="0" w:color="auto"/>
      </w:divBdr>
    </w:div>
    <w:div w:id="1789080388">
      <w:bodyDiv w:val="1"/>
      <w:marLeft w:val="0"/>
      <w:marRight w:val="0"/>
      <w:marTop w:val="0"/>
      <w:marBottom w:val="0"/>
      <w:divBdr>
        <w:top w:val="none" w:sz="0" w:space="0" w:color="auto"/>
        <w:left w:val="none" w:sz="0" w:space="0" w:color="auto"/>
        <w:bottom w:val="none" w:sz="0" w:space="0" w:color="auto"/>
        <w:right w:val="none" w:sz="0" w:space="0" w:color="auto"/>
      </w:divBdr>
    </w:div>
    <w:div w:id="1862207880">
      <w:bodyDiv w:val="1"/>
      <w:marLeft w:val="0"/>
      <w:marRight w:val="0"/>
      <w:marTop w:val="0"/>
      <w:marBottom w:val="0"/>
      <w:divBdr>
        <w:top w:val="none" w:sz="0" w:space="0" w:color="auto"/>
        <w:left w:val="none" w:sz="0" w:space="0" w:color="auto"/>
        <w:bottom w:val="none" w:sz="0" w:space="0" w:color="auto"/>
        <w:right w:val="none" w:sz="0" w:space="0" w:color="auto"/>
      </w:divBdr>
    </w:div>
    <w:div w:id="1874997953">
      <w:bodyDiv w:val="1"/>
      <w:marLeft w:val="0"/>
      <w:marRight w:val="0"/>
      <w:marTop w:val="0"/>
      <w:marBottom w:val="0"/>
      <w:divBdr>
        <w:top w:val="none" w:sz="0" w:space="0" w:color="auto"/>
        <w:left w:val="none" w:sz="0" w:space="0" w:color="auto"/>
        <w:bottom w:val="none" w:sz="0" w:space="0" w:color="auto"/>
        <w:right w:val="none" w:sz="0" w:space="0" w:color="auto"/>
      </w:divBdr>
    </w:div>
    <w:div w:id="1900358387">
      <w:bodyDiv w:val="1"/>
      <w:marLeft w:val="0"/>
      <w:marRight w:val="0"/>
      <w:marTop w:val="0"/>
      <w:marBottom w:val="0"/>
      <w:divBdr>
        <w:top w:val="none" w:sz="0" w:space="0" w:color="auto"/>
        <w:left w:val="none" w:sz="0" w:space="0" w:color="auto"/>
        <w:bottom w:val="none" w:sz="0" w:space="0" w:color="auto"/>
        <w:right w:val="none" w:sz="0" w:space="0" w:color="auto"/>
      </w:divBdr>
    </w:div>
    <w:div w:id="1960453790">
      <w:bodyDiv w:val="1"/>
      <w:marLeft w:val="0"/>
      <w:marRight w:val="0"/>
      <w:marTop w:val="0"/>
      <w:marBottom w:val="0"/>
      <w:divBdr>
        <w:top w:val="none" w:sz="0" w:space="0" w:color="auto"/>
        <w:left w:val="none" w:sz="0" w:space="0" w:color="auto"/>
        <w:bottom w:val="none" w:sz="0" w:space="0" w:color="auto"/>
        <w:right w:val="none" w:sz="0" w:space="0" w:color="auto"/>
      </w:divBdr>
      <w:divsChild>
        <w:div w:id="1691755145">
          <w:marLeft w:val="0"/>
          <w:marRight w:val="0"/>
          <w:marTop w:val="0"/>
          <w:marBottom w:val="0"/>
          <w:divBdr>
            <w:top w:val="none" w:sz="0" w:space="0" w:color="auto"/>
            <w:left w:val="none" w:sz="0" w:space="0" w:color="auto"/>
            <w:bottom w:val="none" w:sz="0" w:space="0" w:color="auto"/>
            <w:right w:val="none" w:sz="0" w:space="0" w:color="auto"/>
          </w:divBdr>
          <w:divsChild>
            <w:div w:id="252396464">
              <w:marLeft w:val="0"/>
              <w:marRight w:val="0"/>
              <w:marTop w:val="0"/>
              <w:marBottom w:val="0"/>
              <w:divBdr>
                <w:top w:val="none" w:sz="0" w:space="0" w:color="auto"/>
                <w:left w:val="none" w:sz="0" w:space="0" w:color="auto"/>
                <w:bottom w:val="none" w:sz="0" w:space="0" w:color="auto"/>
                <w:right w:val="none" w:sz="0" w:space="0" w:color="auto"/>
              </w:divBdr>
              <w:divsChild>
                <w:div w:id="553346736">
                  <w:marLeft w:val="0"/>
                  <w:marRight w:val="0"/>
                  <w:marTop w:val="0"/>
                  <w:marBottom w:val="0"/>
                  <w:divBdr>
                    <w:top w:val="none" w:sz="0" w:space="0" w:color="auto"/>
                    <w:left w:val="none" w:sz="0" w:space="0" w:color="auto"/>
                    <w:bottom w:val="none" w:sz="0" w:space="0" w:color="auto"/>
                    <w:right w:val="none" w:sz="0" w:space="0" w:color="auto"/>
                  </w:divBdr>
                  <w:divsChild>
                    <w:div w:id="1372418397">
                      <w:marLeft w:val="0"/>
                      <w:marRight w:val="0"/>
                      <w:marTop w:val="0"/>
                      <w:marBottom w:val="0"/>
                      <w:divBdr>
                        <w:top w:val="none" w:sz="0" w:space="0" w:color="auto"/>
                        <w:left w:val="none" w:sz="0" w:space="0" w:color="auto"/>
                        <w:bottom w:val="none" w:sz="0" w:space="0" w:color="auto"/>
                        <w:right w:val="none" w:sz="0" w:space="0" w:color="auto"/>
                      </w:divBdr>
                      <w:divsChild>
                        <w:div w:id="121307265">
                          <w:marLeft w:val="0"/>
                          <w:marRight w:val="0"/>
                          <w:marTop w:val="0"/>
                          <w:marBottom w:val="0"/>
                          <w:divBdr>
                            <w:top w:val="none" w:sz="0" w:space="0" w:color="auto"/>
                            <w:left w:val="none" w:sz="0" w:space="0" w:color="auto"/>
                            <w:bottom w:val="none" w:sz="0" w:space="0" w:color="auto"/>
                            <w:right w:val="none" w:sz="0" w:space="0" w:color="auto"/>
                          </w:divBdr>
                          <w:divsChild>
                            <w:div w:id="963148068">
                              <w:marLeft w:val="0"/>
                              <w:marRight w:val="0"/>
                              <w:marTop w:val="0"/>
                              <w:marBottom w:val="0"/>
                              <w:divBdr>
                                <w:top w:val="none" w:sz="0" w:space="0" w:color="auto"/>
                                <w:left w:val="none" w:sz="0" w:space="0" w:color="auto"/>
                                <w:bottom w:val="none" w:sz="0" w:space="0" w:color="auto"/>
                                <w:right w:val="none" w:sz="0" w:space="0" w:color="auto"/>
                              </w:divBdr>
                              <w:divsChild>
                                <w:div w:id="13973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683774">
      <w:bodyDiv w:val="1"/>
      <w:marLeft w:val="0"/>
      <w:marRight w:val="0"/>
      <w:marTop w:val="0"/>
      <w:marBottom w:val="0"/>
      <w:divBdr>
        <w:top w:val="none" w:sz="0" w:space="0" w:color="auto"/>
        <w:left w:val="none" w:sz="0" w:space="0" w:color="auto"/>
        <w:bottom w:val="none" w:sz="0" w:space="0" w:color="auto"/>
        <w:right w:val="none" w:sz="0" w:space="0" w:color="auto"/>
      </w:divBdr>
    </w:div>
    <w:div w:id="1991906199">
      <w:bodyDiv w:val="1"/>
      <w:marLeft w:val="0"/>
      <w:marRight w:val="0"/>
      <w:marTop w:val="0"/>
      <w:marBottom w:val="0"/>
      <w:divBdr>
        <w:top w:val="none" w:sz="0" w:space="0" w:color="auto"/>
        <w:left w:val="none" w:sz="0" w:space="0" w:color="auto"/>
        <w:bottom w:val="none" w:sz="0" w:space="0" w:color="auto"/>
        <w:right w:val="none" w:sz="0" w:space="0" w:color="auto"/>
      </w:divBdr>
    </w:div>
    <w:div w:id="2012680292">
      <w:bodyDiv w:val="1"/>
      <w:marLeft w:val="0"/>
      <w:marRight w:val="0"/>
      <w:marTop w:val="0"/>
      <w:marBottom w:val="0"/>
      <w:divBdr>
        <w:top w:val="none" w:sz="0" w:space="0" w:color="auto"/>
        <w:left w:val="none" w:sz="0" w:space="0" w:color="auto"/>
        <w:bottom w:val="none" w:sz="0" w:space="0" w:color="auto"/>
        <w:right w:val="none" w:sz="0" w:space="0" w:color="auto"/>
      </w:divBdr>
    </w:div>
    <w:div w:id="2044094897">
      <w:bodyDiv w:val="1"/>
      <w:marLeft w:val="0"/>
      <w:marRight w:val="0"/>
      <w:marTop w:val="0"/>
      <w:marBottom w:val="0"/>
      <w:divBdr>
        <w:top w:val="none" w:sz="0" w:space="0" w:color="auto"/>
        <w:left w:val="none" w:sz="0" w:space="0" w:color="auto"/>
        <w:bottom w:val="none" w:sz="0" w:space="0" w:color="auto"/>
        <w:right w:val="none" w:sz="0" w:space="0" w:color="auto"/>
      </w:divBdr>
    </w:div>
    <w:div w:id="2071494065">
      <w:bodyDiv w:val="1"/>
      <w:marLeft w:val="0"/>
      <w:marRight w:val="0"/>
      <w:marTop w:val="0"/>
      <w:marBottom w:val="0"/>
      <w:divBdr>
        <w:top w:val="none" w:sz="0" w:space="0" w:color="auto"/>
        <w:left w:val="none" w:sz="0" w:space="0" w:color="auto"/>
        <w:bottom w:val="none" w:sz="0" w:space="0" w:color="auto"/>
        <w:right w:val="none" w:sz="0" w:space="0" w:color="auto"/>
      </w:divBdr>
    </w:div>
    <w:div w:id="2095082150">
      <w:bodyDiv w:val="1"/>
      <w:marLeft w:val="0"/>
      <w:marRight w:val="0"/>
      <w:marTop w:val="0"/>
      <w:marBottom w:val="0"/>
      <w:divBdr>
        <w:top w:val="none" w:sz="0" w:space="0" w:color="auto"/>
        <w:left w:val="none" w:sz="0" w:space="0" w:color="auto"/>
        <w:bottom w:val="none" w:sz="0" w:space="0" w:color="auto"/>
        <w:right w:val="none" w:sz="0" w:space="0" w:color="auto"/>
      </w:divBdr>
    </w:div>
    <w:div w:id="2099280522">
      <w:bodyDiv w:val="1"/>
      <w:marLeft w:val="0"/>
      <w:marRight w:val="0"/>
      <w:marTop w:val="0"/>
      <w:marBottom w:val="0"/>
      <w:divBdr>
        <w:top w:val="none" w:sz="0" w:space="0" w:color="auto"/>
        <w:left w:val="none" w:sz="0" w:space="0" w:color="auto"/>
        <w:bottom w:val="none" w:sz="0" w:space="0" w:color="auto"/>
        <w:right w:val="none" w:sz="0" w:space="0" w:color="auto"/>
      </w:divBdr>
    </w:div>
    <w:div w:id="2114476518">
      <w:bodyDiv w:val="1"/>
      <w:marLeft w:val="0"/>
      <w:marRight w:val="0"/>
      <w:marTop w:val="0"/>
      <w:marBottom w:val="0"/>
      <w:divBdr>
        <w:top w:val="none" w:sz="0" w:space="0" w:color="auto"/>
        <w:left w:val="none" w:sz="0" w:space="0" w:color="auto"/>
        <w:bottom w:val="none" w:sz="0" w:space="0" w:color="auto"/>
        <w:right w:val="none" w:sz="0" w:space="0" w:color="auto"/>
      </w:divBdr>
    </w:div>
    <w:div w:id="212723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PUT22</b:Tag>
    <b:SourceType>JournalArticle</b:SourceType>
    <b:Guid>{853B32D0-980E-4A8A-8E80-F00F2EFF4736}</b:Guid>
    <b:Title>PEMERINTAHAN LEONID BREZHNEV DI UNI SOVIET DALAM BIDANG POLITIK PADA TAHUN 1964-1982</b:Title>
    <b:Year>2022</b:Year>
    <b:Author>
      <b:Author>
        <b:NameList>
          <b:Person>
            <b:Last>Putri</b:Last>
            <b:Middle>Ramadani</b:Middle>
            <b:First>Tania</b:First>
          </b:Person>
        </b:NameList>
      </b:Author>
    </b:Author>
    <b:RefOrder>1</b:RefOrder>
  </b:Source>
  <b:Source>
    <b:Tag>Tat23</b:Tag>
    <b:SourceType>JournalArticle</b:SourceType>
    <b:Guid>{290FC6B3-2062-4070-9B21-BBE3AF2D7996}</b:Guid>
    <b:Title>Ancaman Terorisme dan Strategi Penanganannya:Studi Pustaka Strategi Kontra-Terorismedi Kamboja</b:Title>
    <b:JournalName>JSHP: Jurnal Sosial Humaniora dan Pendidikan, Vol. 7, No. 1</b:JournalName>
    <b:Year>2023</b:Year>
    <b:Pages>91-100</b:Pages>
    <b:Author>
      <b:Author>
        <b:NameList>
          <b:Person>
            <b:Last>Tatara</b:Last>
            <b:Middle> Abukhaer</b:Middle>
            <b:First>Beny </b:First>
          </b:Person>
          <b:Person>
            <b:Last>Margiyati</b:Last>
            <b:First>Titis </b:First>
          </b:Person>
          <b:Person>
            <b:Last>Timur</b:Last>
            <b:Middle>Gustarina Cempaka</b:Middle>
            <b:First>Fauzia </b:First>
          </b:Person>
        </b:NameList>
      </b:Author>
    </b:Author>
    <b:RefOrder>2</b:RefOrder>
  </b:Source>
  <b:Source>
    <b:Tag>Sov24</b:Tag>
    <b:SourceType>JournalArticle</b:SourceType>
    <b:Guid>{7929F548-4104-4FD5-A27E-7C9D33EEBF71}</b:Guid>
    <b:Title>Strategi Politik dan Militer dalam Penyelesaian Konflik Kamboja: Peran Samdech Hun Sen dalam Rekonsiliasi dan Stabilitas Nasional</b:Title>
    <b:JournalName>Jurnal Peperangan Asimetris, Vol. 10, No. 4</b:JournalName>
    <b:Year>2024</b:Year>
    <b:Pages>46-73</b:Pages>
    <b:Author>
      <b:Author>
        <b:NameList>
          <b:Person>
            <b:Last>Sovann</b:Last>
            <b:First>Nhim  </b:First>
          </b:Person>
          <b:Person>
            <b:Last>Sutanto</b:Last>
            <b:First>Rudi </b:First>
          </b:Person>
          <b:Person>
            <b:Last>Halkis</b:Last>
            <b:First>Mhd </b:First>
          </b:Person>
        </b:NameList>
      </b:Author>
    </b:Author>
    <b:RefOrder>3</b:RefOrder>
  </b:Source>
  <b:Source>
    <b:Tag>Pot21</b:Tag>
    <b:SourceType>JournalArticle</b:SourceType>
    <b:Guid>{E7859C90-ACB8-47DF-84FF-93792DA3C670}</b:Guid>
    <b:Title>PERAN ASEAN DALAM PENYELESAIAN SENGKETA KUIL PREAH VIHEAR</b:Title>
    <b:JournalName>INTELEKTUAL : JURNAL EKONOMI, SOSIAL &amp; HUMANIORA, VOL. 3, NO. 4</b:JournalName>
    <b:Year>2021</b:Year>
    <b:Pages>1-9</b:Pages>
    <b:Author>
      <b:Author>
        <b:NameList>
          <b:Person>
            <b:Last>Pottu</b:Last>
            <b:Middle>Yohana</b:Middle>
            <b:First>Oktavina</b:First>
          </b:Person>
          <b:Person>
            <b:Last>Siahaan</b:Last>
            <b:First>Chontina</b:First>
          </b:Person>
        </b:NameList>
      </b:Author>
    </b:Author>
    <b:RefOrder>5</b:RefOrder>
  </b:Source>
  <b:Source>
    <b:Tag>Ind21</b:Tag>
    <b:SourceType>JournalArticle</b:SourceType>
    <b:Guid>{C9587B54-4B5E-45C0-BEB7-370161AD8AB6}</b:Guid>
    <b:Title>HEGEMONI TIONGKOK ATAS SUNGAI MEKONG DAN PENGARUHNYA TERHADAP NEGARA DI BAGIAN HILIR KAMBOJA, LAOS, THAILAND, VIETNAM</b:Title>
    <b:JournalName>Jurnal Ilmu dan Budaya, Vol. 42, No. 1</b:JournalName>
    <b:Year>2021</b:Year>
    <b:Pages>88-105</b:Pages>
    <b:Author>
      <b:Author>
        <b:NameList>
          <b:Person>
            <b:Last> Indrayani</b:Last>
            <b:First>Irma</b:First>
          </b:Person>
          <b:Person>
            <b:First>Zulkarnain</b:First>
          </b:Person>
          <b:Person>
            <b:Last>Erawati</b:Last>
            <b:First>Dinanti </b:First>
          </b:Person>
        </b:NameList>
      </b:Author>
    </b:Author>
    <b:RefOrder>6</b:RefOrder>
  </b:Source>
  <b:Source>
    <b:Tag>Put23</b:Tag>
    <b:SourceType>JournalArticle</b:SourceType>
    <b:Guid>{6283451F-61F4-4D88-BFA8-73AC3406669F}</b:Guid>
    <b:Title>Analisis Tindak Kejahatan oleh Khmer Merah Kamboja Ditinjau dari Hukum Pidana Internasional</b:Title>
    <b:JournalName>BOROBUDUR LAW AND SOCIETY JOURNAL</b:JournalName>
    <b:Year>2023</b:Year>
    <b:Pages>213-219</b:Pages>
    <b:Author>
      <b:Author>
        <b:NameList>
          <b:Person>
            <b:Last>Putri</b:Last>
            <b:Middle> Nanda </b:Middle>
            <b:First>Septia </b:First>
          </b:Person>
          <b:Person>
            <b:Last>Rinda</b:Last>
          </b:Person>
        </b:NameList>
      </b:Author>
    </b:Author>
    <b:RefOrder>9</b:RefOrder>
  </b:Source>
  <b:Source>
    <b:Tag>Has26</b:Tag>
    <b:SourceType>JournalArticle</b:SourceType>
    <b:Guid>{AABF555F-C98A-4E97-9725-3445259E0C14}</b:Guid>
    <b:Title>KONFLIK DI KAWASAN ASIA TENGGARA: PENYEBAB, DINAMIKA, DAN UPAYA PENYELESAIANNYA</b:Title>
    <b:JournalName>Jurnal Edu Research Indonesian Institute For Corporate Learning And Studies (IICLS)</b:JournalName>
    <b:Year>2026</b:Year>
    <b:Pages>3939-3947</b:Pages>
    <b:Author>
      <b:Author>
        <b:NameList>
          <b:Person>
            <b:Last>Hasanah</b:Last>
            <b:First>Laylatul</b:First>
          </b:Person>
          <b:Person>
            <b:Last>Khairunnisa</b:Last>
            <b:First>Fitria</b:First>
          </b:Person>
          <b:Person>
            <b:Last>Lovina</b:Last>
            <b:First>Amara</b:First>
          </b:Person>
          <b:Person>
            <b:Last>Erwin</b:Last>
            <b:First>Nadia</b:First>
          </b:Person>
          <b:Person>
            <b:Last>Rusdi</b:Last>
          </b:Person>
        </b:NameList>
      </b:Author>
    </b:Author>
    <b:RefOrder>2</b:RefOrder>
  </b:Source>
</b:Sources>
</file>

<file path=customXml/itemProps1.xml><?xml version="1.0" encoding="utf-8"?>
<ds:datastoreItem xmlns:ds="http://schemas.openxmlformats.org/officeDocument/2006/customXml" ds:itemID="{6B0EC59A-2A4B-40DC-B1D4-EBF0D4BC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2282</TotalTime>
  <Pages>15</Pages>
  <Words>6631</Words>
  <Characters>37799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Pulung Riyanto</dc:creator>
  <cp:keywords/>
  <dc:description/>
  <cp:lastModifiedBy>User</cp:lastModifiedBy>
  <cp:revision>678</cp:revision>
  <cp:lastPrinted>2026-08-19T08:00:00Z</cp:lastPrinted>
  <dcterms:created xsi:type="dcterms:W3CDTF">2025-02-24T15:23:00Z</dcterms:created>
  <dcterms:modified xsi:type="dcterms:W3CDTF">2026-08-20T08:40:00Z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dec87c39-ae95-3b0d-9688-34d601c8de0c</vt:lpwstr>
  </property>
  <property fmtid="{D5CDD505-2E9C-101B-9397-08002B2CF9AE}" pid="24" name="Mendeley Citation Style_1">
    <vt:lpwstr>http://www.zotero.org/styles/american-sociological-association</vt:lpwstr>
  </property>
</Properties>
</file>